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before="0" w:after="0"/>
      </w:pPr>
      <w:r>
        <w:drawing>
          <wp:inline xmlns:a="http://schemas.openxmlformats.org/drawingml/2006/main" xmlns:pic="http://schemas.openxmlformats.org/drawingml/2006/picture">
            <wp:extent cx="2011680" cy="116162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qualiteh-logo-on-navy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11616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spacing w:before="0" w:after="60"/>
      </w:pPr>
    </w:p>
    <w:p>
      <w:pPr>
        <w:spacing w:before="0" w:after="0"/>
        <w:spacing w:before="0" w:after="60"/>
      </w:pPr>
    </w:p>
    <w:p>
      <w:pPr>
        <w:jc w:val="center"/>
        <w:spacing w:before="0" w:after="40"/>
      </w:pPr>
      <w:r>
        <w:rPr>
          <w:rFonts w:ascii="Inter" w:hAnsi="Inter"/>
          <w:b/>
          <w:i w:val="0"/>
          <w:color w:val="0A1628"/>
          <w:sz w:val="48"/>
        </w:rPr>
        <w:t>Supplier Quality Audit Checklist</w:t>
      </w:r>
    </w:p>
    <w:p>
      <w:pPr>
        <w:jc w:val="center"/>
        <w:spacing w:before="0" w:after="120"/>
      </w:pPr>
      <w:r>
        <w:rPr>
          <w:rFonts w:ascii="Inter" w:hAnsi="Inter"/>
          <w:b w:val="0"/>
          <w:i/>
          <w:color w:val="64748B"/>
          <w:sz w:val="26"/>
        </w:rPr>
        <w:t>(ISO 9001  ·  IATF 16949  ·  VDA 6.3)</w:t>
      </w:r>
    </w:p>
    <w:p>
      <w:pPr>
        <w:jc w:val="center"/>
        <w:spacing w:before="0" w:after="60"/>
      </w:pPr>
      <w:r>
        <w:rPr>
          <w:rFonts w:ascii="Inter" w:hAnsi="Inter"/>
          <w:b w:val="0"/>
          <w:i w:val="0"/>
          <w:color w:val="1E293B"/>
          <w:sz w:val="20"/>
        </w:rPr>
        <w:t>A structured process-audit tool for evaluating supplier quality management systems against Tier-1/2 automotive requirements.</w:t>
      </w:r>
    </w:p>
    <w:p>
      <w:pPr>
        <w:jc w:val="center"/>
        <w:spacing w:before="0" w:after="40"/>
      </w:pPr>
      <w:r>
        <w:rPr>
          <w:rFonts w:ascii="Inter" w:hAnsi="Inter"/>
          <w:b w:val="0"/>
          <w:i/>
          <w:color w:val="64748B"/>
          <w:sz w:val="20"/>
        </w:rPr>
        <w:t>Built for Tier-1/2 automotive quality engineers</w:t>
      </w:r>
    </w:p>
    <w:p>
      <w:pPr>
        <w:jc w:val="center"/>
        <w:spacing w:before="0" w:after="20"/>
      </w:pPr>
      <w:r>
        <w:rPr>
          <w:rFonts w:ascii="Inter" w:hAnsi="Inter"/>
          <w:b w:val="0"/>
          <w:i w:val="0"/>
          <w:color w:val="64748B"/>
          <w:sz w:val="18"/>
        </w:rPr>
        <w:t>Version 1.0  ·  June 2026  ·  © Qualiteh Academy</w:t>
      </w:r>
    </w:p>
    <w:p>
      <w:pPr>
        <w:jc w:val="center"/>
        <w:spacing w:before="0" w:after="120"/>
      </w:pPr>
      <w:r>
        <w:rPr>
          <w:rFonts w:ascii="Inter" w:hAnsi="Inter"/>
          <w:b w:val="0"/>
          <w:i w:val="0"/>
          <w:color w:val="64748B"/>
          <w:sz w:val="18"/>
        </w:rPr>
        <w:t>qualiteh.com  ·  rankovic@qualiteh.com</w:t>
      </w:r>
    </w:p>
    <w:p>
      <w:pPr>
        <w:jc w:val="center"/>
        <w:spacing w:before="0" w:after="80"/>
      </w:pPr>
      <w:r>
        <w:rPr>
          <w:rFonts w:ascii="Inter" w:hAnsi="Inter"/>
          <w:b w:val="0"/>
          <w:i w:val="0"/>
          <w:color w:val="64748B"/>
          <w:sz w:val="14"/>
        </w:rPr>
        <w:t>Qualiteh Academy  ·  qualiteh.com  ·  rankovic@qualiteh.com  ·  Structured per ISO 9001 / IATF 16949 / VDA 6.3 methodology  ·  v1.0</w:t>
      </w:r>
    </w:p>
    <w:p>
      <w:pPr>
        <w:spacing w:before="0" w:after="0"/>
      </w:pPr>
      <w:r>
        <w:br w:type="page"/>
      </w:r>
    </w:p>
    <w:tbl>
      <w:tblPr>
        <w:tblStyle w:val="TableGrid"/>
        <w:jc w:val="left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W w:w="9360" w:type="dxa"/>
      </w:tblPr>
      <w:tblGrid>
        <w:gridCol w:w="9866"/>
      </w:tblGrid>
      <w:tr>
        <w:tc>
          <w:tcPr>
            <w:tcW w:type="dxa" w:w="9866"/>
            <w:shd w:val="clear" w:color="auto" w:fill="0A1628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24"/>
              </w:rPr>
              <w:t>Audit Details</w:t>
            </w:r>
          </w:p>
        </w:tc>
      </w:tr>
    </w:tbl>
    <w:p>
      <w:pPr>
        <w:spacing w:before="0" w:after="40"/>
      </w:pPr>
    </w:p>
    <w:tbl>
      <w:tblPr>
        <w:tblStyle w:val="TableGrid"/>
        <w:tblLook w:firstColumn="1" w:firstRow="1" w:lastColumn="0" w:lastRow="0" w:noHBand="0" w:noVBand="1" w:val="04A0"/>
        <w:tblBorders>
          <w:top w:val="single" w:sz="4" w:space="0" w:color="B0B7C3"/>
          <w:left w:val="single" w:sz="4" w:space="0" w:color="B0B7C3"/>
          <w:bottom w:val="single" w:sz="4" w:space="0" w:color="B0B7C3"/>
          <w:right w:val="single" w:sz="4" w:space="0" w:color="B0B7C3"/>
          <w:insideH w:val="single" w:sz="4" w:space="0" w:color="B0B7C3"/>
          <w:insideV w:val="single" w:sz="4" w:space="0" w:color="B0B7C3"/>
        </w:tblBorders>
        <w:tblW w:w="9360" w:type="dxa"/>
      </w:tblPr>
      <w:tblGrid>
        <w:gridCol w:w="4933"/>
        <w:gridCol w:w="4933"/>
      </w:tblGrid>
      <w:tr>
        <w:tc>
          <w:tcPr>
            <w:shd w:val="clear" w:color="auto" w:fill="EEEDE4"/>
            <w:tcW w:w="252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8"/>
              </w:rPr>
              <w:t>Supplier</w:t>
            </w:r>
          </w:p>
        </w:tc>
        <w:tc>
          <w:tcPr>
            <w:shd w:val="clear" w:color="auto" w:fill="FFFFFF"/>
            <w:tcW w:w="684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Premier Stamping GmbH</w:t>
            </w:r>
          </w:p>
        </w:tc>
      </w:tr>
      <w:tr>
        <w:tc>
          <w:tcPr>
            <w:shd w:val="clear" w:color="auto" w:fill="EEEDE4"/>
            <w:tcW w:w="252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8"/>
              </w:rPr>
              <w:t>Supplier code</w:t>
            </w:r>
          </w:p>
        </w:tc>
        <w:tc>
          <w:tcPr>
            <w:shd w:val="clear" w:color="auto" w:fill="FFFFFF"/>
            <w:tcW w:w="684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SC-7890</w:t>
            </w:r>
          </w:p>
        </w:tc>
      </w:tr>
      <w:tr>
        <w:tc>
          <w:tcPr>
            <w:shd w:val="clear" w:color="auto" w:fill="EEEDE4"/>
            <w:tcW w:w="252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8"/>
              </w:rPr>
              <w:t>Site / plant</w:t>
            </w:r>
          </w:p>
        </w:tc>
        <w:tc>
          <w:tcPr>
            <w:shd w:val="clear" w:color="auto" w:fill="FFFFFF"/>
            <w:tcW w:w="684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Plant 2, Stuttgart, Germany</w:t>
            </w:r>
          </w:p>
        </w:tc>
      </w:tr>
      <w:tr>
        <w:tc>
          <w:tcPr>
            <w:shd w:val="clear" w:color="auto" w:fill="EEEDE4"/>
            <w:tcW w:w="252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8"/>
              </w:rPr>
              <w:t>Commodity / part family</w:t>
            </w:r>
          </w:p>
        </w:tc>
        <w:tc>
          <w:tcPr>
            <w:shd w:val="clear" w:color="auto" w:fill="FFFFFF"/>
            <w:tcW w:w="684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Stamped structural body components</w:t>
            </w:r>
          </w:p>
        </w:tc>
      </w:tr>
      <w:tr>
        <w:tc>
          <w:tcPr>
            <w:shd w:val="clear" w:color="auto" w:fill="EEEDE4"/>
            <w:tcW w:w="252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8"/>
              </w:rPr>
              <w:t>Audit type</w:t>
            </w:r>
          </w:p>
        </w:tc>
        <w:tc>
          <w:tcPr>
            <w:shd w:val="clear" w:color="auto" w:fill="FFFFFF"/>
            <w:tcW w:w="684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Periodic Audit  ☐ Initial  ☑ Periodic  ☐ Follow-up  ☐ For-cause</w:t>
            </w:r>
          </w:p>
        </w:tc>
      </w:tr>
      <w:tr>
        <w:tc>
          <w:tcPr>
            <w:shd w:val="clear" w:color="auto" w:fill="EEEDE4"/>
            <w:tcW w:w="252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8"/>
              </w:rPr>
              <w:t>Audit date(s)</w:t>
            </w:r>
          </w:p>
        </w:tc>
        <w:tc>
          <w:tcPr>
            <w:shd w:val="clear" w:color="auto" w:fill="FFFFFF"/>
            <w:tcW w:w="684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2026-06-15</w:t>
            </w:r>
          </w:p>
        </w:tc>
      </w:tr>
      <w:tr>
        <w:tc>
          <w:tcPr>
            <w:shd w:val="clear" w:color="auto" w:fill="EEEDE4"/>
            <w:tcW w:w="252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8"/>
              </w:rPr>
              <w:t>Lead auditor</w:t>
            </w:r>
          </w:p>
        </w:tc>
        <w:tc>
          <w:tcPr>
            <w:shd w:val="clear" w:color="auto" w:fill="FFFFFF"/>
            <w:tcW w:w="684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A. Becker</w:t>
            </w:r>
          </w:p>
        </w:tc>
      </w:tr>
      <w:tr>
        <w:tc>
          <w:tcPr>
            <w:shd w:val="clear" w:color="auto" w:fill="EEEDE4"/>
            <w:tcW w:w="252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8"/>
              </w:rPr>
              <w:t>Auditee contact</w:t>
            </w:r>
          </w:p>
        </w:tc>
        <w:tc>
          <w:tcPr>
            <w:shd w:val="clear" w:color="auto" w:fill="FFFFFF"/>
            <w:tcW w:w="684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M. Weber, Quality Manager</w:t>
            </w:r>
          </w:p>
        </w:tc>
      </w:tr>
      <w:tr>
        <w:tc>
          <w:tcPr>
            <w:shd w:val="clear" w:color="auto" w:fill="EEEDE4"/>
            <w:tcW w:w="252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8"/>
              </w:rPr>
              <w:t>Scope</w:t>
            </w:r>
          </w:p>
        </w:tc>
        <w:tc>
          <w:tcPr>
            <w:shd w:val="clear" w:color="auto" w:fill="FFFFFF"/>
            <w:tcW w:w="684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ISO 9001:2015 / IATF 16949:2016 QMS — Stamping &amp; Assembly (Cells 1–4)</w:t>
            </w:r>
          </w:p>
        </w:tc>
      </w:tr>
    </w:tbl>
    <w:p>
      <w:pPr>
        <w:spacing w:before="0" w:after="0"/>
        <w:spacing w:before="0" w:after="60"/>
      </w:pPr>
    </w:p>
    <w:tbl>
      <w:tblPr>
        <w:tblStyle w:val="TableGrid"/>
        <w:jc w:val="left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W w:w="9360" w:type="dxa"/>
      </w:tblPr>
      <w:tblGrid>
        <w:gridCol w:w="9866"/>
      </w:tblGrid>
      <w:tr>
        <w:tc>
          <w:tcPr>
            <w:tcW w:type="dxa" w:w="9866"/>
            <w:shd w:val="clear" w:color="auto" w:fill="0A1628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24"/>
              </w:rPr>
              <w:t>Scoring Guide</w:t>
            </w:r>
          </w:p>
        </w:tc>
      </w:tr>
    </w:tbl>
    <w:p>
      <w:pPr>
        <w:spacing w:before="0" w:after="40"/>
      </w:pPr>
    </w:p>
    <w:p>
      <w:pPr>
        <w:jc w:val="left"/>
        <w:spacing w:before="0" w:after="40"/>
      </w:pPr>
      <w:r>
        <w:rPr>
          <w:rFonts w:ascii="Inter" w:hAnsi="Inter"/>
          <w:b/>
          <w:i w:val="0"/>
          <w:color w:val="0A1628"/>
          <w:sz w:val="20"/>
        </w:rPr>
        <w:t>Per-Question Score Scale:</w:t>
      </w:r>
    </w:p>
    <w:tbl>
      <w:tblPr>
        <w:tblStyle w:val="TableGrid"/>
        <w:tblLook w:firstColumn="1" w:firstRow="1" w:lastColumn="0" w:lastRow="0" w:noHBand="0" w:noVBand="1" w:val="04A0"/>
        <w:tblBorders>
          <w:top w:val="single" w:sz="4" w:space="0" w:color="B0B7C3"/>
          <w:left w:val="single" w:sz="4" w:space="0" w:color="B0B7C3"/>
          <w:bottom w:val="single" w:sz="4" w:space="0" w:color="B0B7C3"/>
          <w:right w:val="single" w:sz="4" w:space="0" w:color="B0B7C3"/>
          <w:insideH w:val="single" w:sz="4" w:space="0" w:color="B0B7C3"/>
          <w:insideV w:val="single" w:sz="4" w:space="0" w:color="B0B7C3"/>
        </w:tblBorders>
        <w:tblW w:w="9360" w:type="dxa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color="auto" w:fill="0D1B3E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18"/>
              </w:rPr>
              <w:t>Score</w:t>
            </w:r>
          </w:p>
        </w:tc>
        <w:tc>
          <w:tcPr>
            <w:tcW w:type="dxa" w:w="3289"/>
            <w:shd w:val="clear" w:color="auto" w:fill="0D1B3E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18"/>
              </w:rPr>
              <w:t>Status</w:t>
            </w:r>
          </w:p>
        </w:tc>
        <w:tc>
          <w:tcPr>
            <w:tcW w:type="dxa" w:w="3289"/>
            <w:shd w:val="clear" w:color="auto" w:fill="0D1B3E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18"/>
              </w:rPr>
              <w:t>Description</w:t>
            </w:r>
          </w:p>
        </w:tc>
      </w:tr>
      <w:tr>
        <w:tc>
          <w:tcPr>
            <w:tcW w:type="dxa" w:w="3289"/>
            <w:shd w:val="clear" w:color="auto" w:fill="10B981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22"/>
              </w:rPr>
              <w:t>10</w:t>
            </w:r>
          </w:p>
        </w:tc>
        <w:tc>
          <w:tcPr>
            <w:tcW w:type="dxa" w:w="3289"/>
            <w:shd w:val="clear" w:color="auto" w:fill="10B981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Fully Met</w:t>
            </w:r>
          </w:p>
        </w:tc>
        <w:tc>
          <w:tcPr>
            <w:tcW w:type="dxa" w:w="3289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Fully met — requirement completely fulfilled; objective evidence available</w:t>
            </w:r>
          </w:p>
        </w:tc>
      </w:tr>
      <w:tr>
        <w:tc>
          <w:tcPr>
            <w:tcW w:type="dxa" w:w="3289"/>
            <w:shd w:val="clear" w:color="auto" w:fill="E8B400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22"/>
              </w:rPr>
              <w:t>8</w:t>
            </w:r>
          </w:p>
        </w:tc>
        <w:tc>
          <w:tcPr>
            <w:tcW w:type="dxa" w:w="3289"/>
            <w:shd w:val="clear" w:color="auto" w:fill="E8B400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8"/>
              </w:rPr>
              <w:t>Largely Met</w:t>
            </w:r>
          </w:p>
        </w:tc>
        <w:tc>
          <w:tcPr>
            <w:tcW w:type="dxa" w:w="3289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Largely met — minor improvement potential; no significant risk</w:t>
            </w:r>
          </w:p>
        </w:tc>
      </w:tr>
      <w:tr>
        <w:tc>
          <w:tcPr>
            <w:tcW w:type="dxa" w:w="3289"/>
            <w:shd w:val="clear" w:color="auto" w:fill="F59E0B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22"/>
              </w:rPr>
              <w:t>4</w:t>
            </w:r>
          </w:p>
        </w:tc>
        <w:tc>
          <w:tcPr>
            <w:tcW w:type="dxa" w:w="3289"/>
            <w:shd w:val="clear" w:color="auto" w:fill="F59E0B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Partially Met</w:t>
            </w:r>
          </w:p>
        </w:tc>
        <w:tc>
          <w:tcPr>
            <w:tcW w:type="dxa" w:w="3289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Partially met — weak point identified; corrective action required</w:t>
            </w:r>
          </w:p>
        </w:tc>
      </w:tr>
      <w:tr>
        <w:tc>
          <w:tcPr>
            <w:tcW w:type="dxa" w:w="3289"/>
            <w:shd w:val="clear" w:color="auto" w:fill="DC2626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22"/>
              </w:rPr>
              <w:t>0</w:t>
            </w:r>
          </w:p>
        </w:tc>
        <w:tc>
          <w:tcPr>
            <w:tcW w:type="dxa" w:w="3289"/>
            <w:shd w:val="clear" w:color="auto" w:fill="DC2626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Not Met</w:t>
            </w:r>
          </w:p>
        </w:tc>
        <w:tc>
          <w:tcPr>
            <w:tcW w:type="dxa" w:w="3289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Not met — requirement not fulfilled; major defect / business risk</w:t>
            </w:r>
          </w:p>
        </w:tc>
      </w:tr>
    </w:tbl>
    <w:p>
      <w:pPr>
        <w:spacing w:before="0" w:after="0"/>
        <w:spacing w:before="0" w:after="60"/>
      </w:pPr>
    </w:p>
    <w:p>
      <w:pPr>
        <w:jc w:val="left"/>
        <w:spacing w:before="0" w:after="20"/>
      </w:pPr>
      <w:r>
        <w:rPr>
          <w:rFonts w:ascii="Inter" w:hAnsi="Inter"/>
          <w:b/>
          <w:i w:val="0"/>
          <w:color w:val="0A1628"/>
          <w:sz w:val="20"/>
        </w:rPr>
        <w:t>Degree of Fulfilment (DoF):</w:t>
      </w:r>
    </w:p>
    <w:p>
      <w:pPr>
        <w:jc w:val="left"/>
        <w:spacing w:before="0" w:after="40"/>
      </w:pPr>
      <w:r>
        <w:rPr>
          <w:rFonts w:ascii="Inter" w:hAnsi="Inter"/>
          <w:b w:val="0"/>
          <w:i/>
          <w:color w:val="1E293B"/>
          <w:sz w:val="18"/>
        </w:rPr>
        <w:t>DoF % = (Sum of achieved scores) / (Maximum possible score) × 100</w:t>
      </w:r>
    </w:p>
    <w:p>
      <w:pPr>
        <w:jc w:val="left"/>
        <w:spacing w:before="0" w:after="20"/>
      </w:pPr>
      <w:r>
        <w:rPr>
          <w:rFonts w:ascii="Inter" w:hAnsi="Inter"/>
          <w:b/>
          <w:i w:val="0"/>
          <w:color w:val="DC2626"/>
          <w:sz w:val="20"/>
        </w:rPr>
        <w:t>★ Critical questions (marked with ★):</w:t>
      </w:r>
    </w:p>
    <w:p>
      <w:pPr>
        <w:jc w:val="left"/>
        <w:spacing w:before="0" w:after="60"/>
      </w:pPr>
      <w:r>
        <w:rPr>
          <w:rFonts w:ascii="Inter" w:hAnsi="Inter"/>
          <w:b w:val="0"/>
          <w:i w:val="0"/>
          <w:color w:val="1E293B"/>
          <w:sz w:val="18"/>
        </w:rPr>
        <w:t>A score of 0 on any ★-marked question automatically caps that element's effective DoF at 80%, regardless of all other question scores. This reflects a safety or systemic risk that cannot be offset by strength elsewhere.</w:t>
      </w:r>
    </w:p>
    <w:p>
      <w:pPr>
        <w:jc w:val="left"/>
        <w:spacing w:before="0" w:after="30"/>
      </w:pPr>
      <w:r>
        <w:rPr>
          <w:rFonts w:ascii="Inter" w:hAnsi="Inter"/>
          <w:b/>
          <w:i w:val="0"/>
          <w:color w:val="0A1628"/>
          <w:sz w:val="20"/>
        </w:rPr>
        <w:t>Overall Audit Rating:</w:t>
      </w:r>
    </w:p>
    <w:tbl>
      <w:tblPr>
        <w:tblStyle w:val="TableGrid"/>
        <w:tblLook w:firstColumn="1" w:firstRow="1" w:lastColumn="0" w:lastRow="0" w:noHBand="0" w:noVBand="1" w:val="04A0"/>
        <w:tblBorders>
          <w:top w:val="single" w:sz="4" w:space="0" w:color="B0B7C3"/>
          <w:left w:val="single" w:sz="4" w:space="0" w:color="B0B7C3"/>
          <w:bottom w:val="single" w:sz="4" w:space="0" w:color="B0B7C3"/>
          <w:right w:val="single" w:sz="4" w:space="0" w:color="B0B7C3"/>
          <w:insideH w:val="single" w:sz="4" w:space="0" w:color="B0B7C3"/>
          <w:insideV w:val="single" w:sz="4" w:space="0" w:color="B0B7C3"/>
        </w:tblBorders>
        <w:tblW w:w="9360" w:type="dxa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color="auto" w:fill="0D1B3E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18"/>
              </w:rPr>
              <w:t>Rating</w:t>
            </w:r>
          </w:p>
        </w:tc>
        <w:tc>
          <w:tcPr>
            <w:tcW w:type="dxa" w:w="2466"/>
            <w:shd w:val="clear" w:color="auto" w:fill="0D1B3E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18"/>
              </w:rPr>
              <w:t>DoF Range</w:t>
            </w:r>
          </w:p>
        </w:tc>
        <w:tc>
          <w:tcPr>
            <w:tcW w:type="dxa" w:w="2466"/>
            <w:shd w:val="clear" w:color="auto" w:fill="0D1B3E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18"/>
              </w:rPr>
              <w:t>Decision</w:t>
            </w:r>
          </w:p>
        </w:tc>
        <w:tc>
          <w:tcPr>
            <w:tcW w:type="dxa" w:w="2466"/>
            <w:shd w:val="clear" w:color="auto" w:fill="0D1B3E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18"/>
              </w:rPr>
              <w:t>Implication</w:t>
            </w:r>
          </w:p>
        </w:tc>
      </w:tr>
      <w:tr>
        <w:tc>
          <w:tcPr>
            <w:tcW w:type="dxa" w:w="2466"/>
            <w:shd w:val="clear" w:color="auto" w:fill="10B981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24"/>
              </w:rPr>
              <w:t>A</w:t>
            </w:r>
          </w:p>
        </w:tc>
        <w:tc>
          <w:tcPr>
            <w:tcW w:type="dxa" w:w="2466"/>
            <w:shd w:val="clear" w:color="auto" w:fill="10B981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≥ 90%</w:t>
            </w:r>
          </w:p>
        </w:tc>
        <w:tc>
          <w:tcPr>
            <w:tcW w:type="dxa" w:w="2466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Approved</w:t>
            </w:r>
          </w:p>
        </w:tc>
        <w:tc>
          <w:tcPr>
            <w:tcW w:type="dxa" w:w="2466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Capable supplier — no critical action required</w:t>
            </w:r>
          </w:p>
        </w:tc>
      </w:tr>
      <w:tr>
        <w:tc>
          <w:tcPr>
            <w:tcW w:type="dxa" w:w="2466"/>
            <w:shd w:val="clear" w:color="auto" w:fill="F59E0B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1E293B"/>
                <w:sz w:val="24"/>
              </w:rPr>
              <w:t>B</w:t>
            </w:r>
          </w:p>
        </w:tc>
        <w:tc>
          <w:tcPr>
            <w:tcW w:type="dxa" w:w="2466"/>
            <w:shd w:val="clear" w:color="auto" w:fill="F59E0B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1E293B"/>
                <w:sz w:val="18"/>
              </w:rPr>
              <w:t>80–89%</w:t>
            </w:r>
          </w:p>
        </w:tc>
        <w:tc>
          <w:tcPr>
            <w:tcW w:type="dxa" w:w="2466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1E293B"/>
                <w:sz w:val="18"/>
              </w:rPr>
              <w:t>Conditional</w:t>
            </w:r>
          </w:p>
        </w:tc>
        <w:tc>
          <w:tcPr>
            <w:tcW w:type="dxa" w:w="2466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Conditionally capable — improvement plan required within 60 days</w:t>
            </w:r>
          </w:p>
        </w:tc>
      </w:tr>
      <w:tr>
        <w:tc>
          <w:tcPr>
            <w:tcW w:type="dxa" w:w="2466"/>
            <w:shd w:val="clear" w:color="auto" w:fill="DC2626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24"/>
              </w:rPr>
              <w:t>C</w:t>
            </w:r>
          </w:p>
        </w:tc>
        <w:tc>
          <w:tcPr>
            <w:tcW w:type="dxa" w:w="2466"/>
            <w:shd w:val="clear" w:color="auto" w:fill="DC2626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&lt; 80%</w:t>
            </w:r>
          </w:p>
        </w:tc>
        <w:tc>
          <w:tcPr>
            <w:tcW w:type="dxa" w:w="2466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Hold</w:t>
            </w:r>
          </w:p>
        </w:tc>
        <w:tc>
          <w:tcPr>
            <w:tcW w:type="dxa" w:w="2466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Not capable — business hold; re-audit required after corrective actions</w:t>
            </w:r>
          </w:p>
        </w:tc>
      </w:tr>
    </w:tbl>
    <w:p>
      <w:pPr>
        <w:spacing w:before="0" w:after="0"/>
        <w:spacing w:before="0" w:after="60"/>
      </w:pPr>
    </w:p>
    <w:p>
      <w:pPr>
        <w:jc w:val="left"/>
        <w:spacing w:before="0" w:after="40"/>
      </w:pPr>
      <w:r>
        <w:rPr>
          <w:rFonts w:ascii="Inter" w:hAnsi="Inter"/>
          <w:b w:val="0"/>
          <w:i/>
          <w:color w:val="64748B"/>
          <w:sz w:val="16"/>
        </w:rPr>
        <w:t>Note: A VDA 6.3 process audit (process element level) is methodologically distinct from an IATF 16949 QMS audit (system level). This checklist applies the 10/8/4/0 scoring convention of VDA 6.3 to both system-level and process-level questions for unified scoring across a supplier visit.</w:t>
      </w:r>
    </w:p>
    <w:p>
      <w:pPr>
        <w:spacing w:before="0" w:after="0"/>
      </w:pPr>
      <w:r>
        <w:br w:type="page"/>
      </w:r>
    </w:p>
    <w:tbl>
      <w:tblPr>
        <w:tblStyle w:val="TableGrid"/>
        <w:jc w:val="left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W w:w="9360" w:type="dxa"/>
      </w:tblPr>
      <w:tblGrid>
        <w:gridCol w:w="9866"/>
      </w:tblGrid>
      <w:tr>
        <w:tc>
          <w:tcPr>
            <w:tcW w:type="dxa" w:w="9866"/>
            <w:shd w:val="clear" w:color="auto" w:fill="0A1628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22"/>
              </w:rPr>
              <w:t>P1 — Quality Management System</w:t>
            </w:r>
          </w:p>
        </w:tc>
      </w:tr>
    </w:tbl>
    <w:p>
      <w:pPr>
        <w:spacing w:before="0" w:after="40"/>
      </w:pPr>
    </w:p>
    <w:tbl>
      <w:tblPr>
        <w:tblStyle w:val="TableGrid"/>
        <w:tblLook w:firstColumn="1" w:firstRow="1" w:lastColumn="0" w:lastRow="0" w:noHBand="0" w:noVBand="1" w:val="04A0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  <w:tblW w:w="9360" w:type="dxa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shd w:val="clear" w:color="auto" w:fill="0A1628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6"/>
              </w:rPr>
              <w:t>No.</w:t>
            </w:r>
          </w:p>
        </w:tc>
        <w:tc>
          <w:tcPr>
            <w:shd w:val="clear" w:color="auto" w:fill="0A1628"/>
            <w:tcW w:w="348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6"/>
              </w:rPr>
              <w:t>Audit Question</w:t>
            </w:r>
          </w:p>
        </w:tc>
        <w:tc>
          <w:tcPr>
            <w:shd w:val="clear" w:color="auto" w:fill="0A1628"/>
            <w:tcW w:w="52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6"/>
              </w:rPr>
              <w:t>Score</w:t>
              <w:br/>
              <w:t>(0/4/8/10)</w:t>
            </w:r>
          </w:p>
        </w:tc>
        <w:tc>
          <w:tcPr>
            <w:shd w:val="clear" w:color="auto" w:fill="0A1628"/>
            <w:tcW w:w="228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6"/>
              </w:rPr>
              <w:t>Evidence / Finding</w:t>
            </w:r>
          </w:p>
        </w:tc>
        <w:tc>
          <w:tcPr>
            <w:shd w:val="clear" w:color="auto" w:fill="0A1628"/>
            <w:tcW w:w="248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6"/>
              </w:rPr>
              <w:t>Action / Owner</w:t>
            </w:r>
          </w:p>
        </w:tc>
      </w:tr>
      <w:tr>
        <w:tc>
          <w:tcPr>
            <w:shd w:val="clear" w:color="auto" w:fill="EEEDE4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6"/>
              </w:rPr>
              <w:t>P1.1</w:t>
            </w:r>
          </w:p>
        </w:tc>
        <w:tc>
          <w:tcPr>
            <w:tcW w:w="3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Is the scope of the QMS documented and aligned with the applicable standard (ISO 9001 / IATF 16949)?</w:t>
            </w:r>
          </w:p>
        </w:tc>
        <w:tc>
          <w:tcPr>
            <w:tcW w:w="520" w:type="dxa"/>
            <w:shd w:val="clear" w:color="auto" w:fill="10B981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22"/>
              </w:rPr>
              <w:t>10</w:t>
            </w:r>
          </w:p>
        </w:tc>
        <w:tc>
          <w:tcPr>
            <w:tcW w:w="22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QMS scope document Rev. 4 sighted; IATF 16949:2016 certificate current.</w:t>
            </w:r>
          </w:p>
        </w:tc>
        <w:tc>
          <w:tcPr>
            <w:tcW w:w="2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64748B"/>
                <w:sz w:val="16"/>
              </w:rPr>
              <w:t>—</w:t>
            </w:r>
          </w:p>
        </w:tc>
      </w:tr>
      <w:tr>
        <w:tc>
          <w:tcPr>
            <w:shd w:val="clear" w:color="auto" w:fill="EEEDE4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6"/>
              </w:rPr>
              <w:t>P1.2</w:t>
            </w:r>
          </w:p>
        </w:tc>
        <w:tc>
          <w:tcPr>
            <w:tcW w:w="3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Are documented-information controls in place (creation, review, approval, version management, obsolescence)?</w:t>
            </w:r>
          </w:p>
        </w:tc>
        <w:tc>
          <w:tcPr>
            <w:tcW w:w="520" w:type="dxa"/>
            <w:shd w:val="clear" w:color="auto" w:fill="E8B400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22"/>
              </w:rPr>
              <w:t>8</w:t>
            </w:r>
          </w:p>
        </w:tc>
        <w:tc>
          <w:tcPr>
            <w:tcW w:w="22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Document control procedure DP-001 in place. Minor gap: obsolete forms not consistently removed from shop floor.</w:t>
            </w:r>
          </w:p>
        </w:tc>
        <w:tc>
          <w:tcPr>
            <w:tcW w:w="2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0A1628"/>
                <w:sz w:val="16"/>
              </w:rPr>
              <w:t>Update obsolete-form retrieval process by 2026-07-31. Owner: QA Mgr</w:t>
            </w:r>
          </w:p>
        </w:tc>
      </w:tr>
      <w:tr>
        <w:tc>
          <w:tcPr>
            <w:shd w:val="clear" w:color="auto" w:fill="EEEDE4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6"/>
              </w:rPr>
              <w:t>P1.3</w:t>
            </w:r>
          </w:p>
        </w:tc>
        <w:tc>
          <w:tcPr>
            <w:tcW w:w="3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Is an internal audit programme established, implemented, and consistently executed at planned intervals?</w:t>
            </w:r>
          </w:p>
        </w:tc>
        <w:tc>
          <w:tcPr>
            <w:tcW w:w="520" w:type="dxa"/>
            <w:shd w:val="clear" w:color="auto" w:fill="E8B400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22"/>
              </w:rPr>
              <w:t>8</w:t>
            </w:r>
          </w:p>
        </w:tc>
        <w:tc>
          <w:tcPr>
            <w:tcW w:w="22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Annual programme in place. One audit overdue by 6 weeks (Shipping). Evidence of corrective action initiated.</w:t>
            </w:r>
          </w:p>
        </w:tc>
        <w:tc>
          <w:tcPr>
            <w:tcW w:w="2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0A1628"/>
                <w:sz w:val="16"/>
              </w:rPr>
              <w:t>Close overdue audit by 2026-07-15. Owner: QA Mgr</w:t>
            </w:r>
          </w:p>
        </w:tc>
      </w:tr>
      <w:tr>
        <w:tc>
          <w:tcPr>
            <w:shd w:val="clear" w:color="auto" w:fill="EEEDE4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6"/>
              </w:rPr>
              <w:t>P1.4</w:t>
            </w:r>
          </w:p>
        </w:tc>
        <w:tc>
          <w:tcPr>
            <w:tcW w:w="3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Are management review records current and do they address required inputs/outputs per IATF 16949 clause 9.3?</w:t>
            </w:r>
          </w:p>
        </w:tc>
        <w:tc>
          <w:tcPr>
            <w:tcW w:w="520" w:type="dxa"/>
            <w:shd w:val="clear" w:color="auto" w:fill="10B981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22"/>
              </w:rPr>
              <w:t>10</w:t>
            </w:r>
          </w:p>
        </w:tc>
        <w:tc>
          <w:tcPr>
            <w:tcW w:w="22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Last management review 2026-05; minutes cover all required inputs including customer satisfaction and QMS performance trends.</w:t>
            </w:r>
          </w:p>
        </w:tc>
        <w:tc>
          <w:tcPr>
            <w:tcW w:w="2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64748B"/>
                <w:sz w:val="16"/>
              </w:rPr>
              <w:t>—</w:t>
            </w:r>
          </w:p>
        </w:tc>
      </w:tr>
      <w:tr>
        <w:tc>
          <w:tcPr>
            <w:shd w:val="clear" w:color="auto" w:fill="EEEDE4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6"/>
              </w:rPr>
              <w:t>P1.5</w:t>
            </w:r>
          </w:p>
        </w:tc>
        <w:tc>
          <w:tcPr>
            <w:tcW w:w="3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Are key quality KPIs (PPM, scrap, warranty, on-time delivery) tracked, trended, and actioned at appropriate intervals?</w:t>
            </w:r>
          </w:p>
        </w:tc>
        <w:tc>
          <w:tcPr>
            <w:tcW w:w="520" w:type="dxa"/>
            <w:shd w:val="clear" w:color="auto" w:fill="E8B400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22"/>
              </w:rPr>
              <w:t>8</w:t>
            </w:r>
          </w:p>
        </w:tc>
        <w:tc>
          <w:tcPr>
            <w:tcW w:w="22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KPI dashboard displayed; PPM trending upward for 3 months without documented root-cause escalation.</w:t>
            </w:r>
          </w:p>
        </w:tc>
        <w:tc>
          <w:tcPr>
            <w:tcW w:w="2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0A1628"/>
                <w:sz w:val="16"/>
              </w:rPr>
              <w:t>Initiate formal 8D on PPM trend by 2026-07-01. Owner: Quality Engineer</w:t>
            </w:r>
          </w:p>
        </w:tc>
      </w:tr>
    </w:tbl>
    <w:p>
      <w:pPr>
        <w:spacing w:before="0" w:after="0"/>
        <w:spacing w:before="0" w:after="60"/>
      </w:pPr>
    </w:p>
    <w:tbl>
      <w:tblPr>
        <w:tblStyle w:val="TableGrid"/>
        <w:jc w:val="left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W w:w="9360" w:type="dxa"/>
      </w:tblPr>
      <w:tblGrid>
        <w:gridCol w:w="9866"/>
      </w:tblGrid>
      <w:tr>
        <w:tc>
          <w:tcPr>
            <w:tcW w:type="dxa" w:w="9866"/>
            <w:shd w:val="clear" w:color="auto" w:fill="0A1628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22"/>
              </w:rPr>
              <w:t>P2 — Management &amp; Planning</w:t>
            </w:r>
          </w:p>
        </w:tc>
      </w:tr>
    </w:tbl>
    <w:p>
      <w:pPr>
        <w:spacing w:before="0" w:after="40"/>
      </w:pPr>
    </w:p>
    <w:tbl>
      <w:tblPr>
        <w:tblStyle w:val="TableGrid"/>
        <w:tblLook w:firstColumn="1" w:firstRow="1" w:lastColumn="0" w:lastRow="0" w:noHBand="0" w:noVBand="1" w:val="04A0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  <w:tblW w:w="9360" w:type="dxa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shd w:val="clear" w:color="auto" w:fill="0A1628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6"/>
              </w:rPr>
              <w:t>No.</w:t>
            </w:r>
          </w:p>
        </w:tc>
        <w:tc>
          <w:tcPr>
            <w:shd w:val="clear" w:color="auto" w:fill="0A1628"/>
            <w:tcW w:w="348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6"/>
              </w:rPr>
              <w:t>Audit Question</w:t>
            </w:r>
          </w:p>
        </w:tc>
        <w:tc>
          <w:tcPr>
            <w:shd w:val="clear" w:color="auto" w:fill="0A1628"/>
            <w:tcW w:w="52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6"/>
              </w:rPr>
              <w:t>Score</w:t>
              <w:br/>
              <w:t>(0/4/8/10)</w:t>
            </w:r>
          </w:p>
        </w:tc>
        <w:tc>
          <w:tcPr>
            <w:shd w:val="clear" w:color="auto" w:fill="0A1628"/>
            <w:tcW w:w="228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6"/>
              </w:rPr>
              <w:t>Evidence / Finding</w:t>
            </w:r>
          </w:p>
        </w:tc>
        <w:tc>
          <w:tcPr>
            <w:shd w:val="clear" w:color="auto" w:fill="0A1628"/>
            <w:tcW w:w="248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6"/>
              </w:rPr>
              <w:t>Action / Owner</w:t>
            </w:r>
          </w:p>
        </w:tc>
      </w:tr>
      <w:tr>
        <w:tc>
          <w:tcPr>
            <w:shd w:val="clear" w:color="auto" w:fill="EEEDE4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6"/>
              </w:rPr>
              <w:t>P2.1</w:t>
            </w:r>
          </w:p>
        </w:tc>
        <w:tc>
          <w:tcPr>
            <w:tcW w:w="3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Is a quality policy established, communicated, understood at all levels, and reviewed for continued suitability?</w:t>
            </w:r>
          </w:p>
        </w:tc>
        <w:tc>
          <w:tcPr>
            <w:tcW w:w="520" w:type="dxa"/>
            <w:shd w:val="clear" w:color="auto" w:fill="10B981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22"/>
              </w:rPr>
              <w:t>10</w:t>
            </w:r>
          </w:p>
        </w:tc>
        <w:tc>
          <w:tcPr>
            <w:tcW w:w="22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Quality policy posted in production and offices; awareness spot-check of 3 operators confirmed understanding.</w:t>
            </w:r>
          </w:p>
        </w:tc>
        <w:tc>
          <w:tcPr>
            <w:tcW w:w="2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64748B"/>
                <w:sz w:val="16"/>
              </w:rPr>
              <w:t>—</w:t>
            </w:r>
          </w:p>
        </w:tc>
      </w:tr>
      <w:tr>
        <w:tc>
          <w:tcPr>
            <w:shd w:val="clear" w:color="auto" w:fill="EEEDE4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6"/>
              </w:rPr>
              <w:t>P2.2</w:t>
            </w:r>
          </w:p>
        </w:tc>
        <w:tc>
          <w:tcPr>
            <w:tcW w:w="3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Are quality objectives established, measurable, and linked to the strategic plan and customer requirements?</w:t>
            </w:r>
          </w:p>
        </w:tc>
        <w:tc>
          <w:tcPr>
            <w:tcW w:w="520" w:type="dxa"/>
            <w:shd w:val="clear" w:color="auto" w:fill="E8B400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22"/>
              </w:rPr>
              <w:t>8</w:t>
            </w:r>
          </w:p>
        </w:tc>
        <w:tc>
          <w:tcPr>
            <w:tcW w:w="22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Objectives documented; not all are time-bound or have owner assignment at departmental level.</w:t>
            </w:r>
          </w:p>
        </w:tc>
        <w:tc>
          <w:tcPr>
            <w:tcW w:w="2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0A1628"/>
                <w:sz w:val="16"/>
              </w:rPr>
              <w:t>Add SMART attributes and owners to all Q2 objectives by 2026-07-31. Owner: Quality Director</w:t>
            </w:r>
          </w:p>
        </w:tc>
      </w:tr>
      <w:tr>
        <w:tc>
          <w:tcPr>
            <w:shd w:val="clear" w:color="auto" w:fill="EEEDE4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6"/>
              </w:rPr>
              <w:t>P2.3</w:t>
            </w:r>
          </w:p>
        </w:tc>
        <w:tc>
          <w:tcPr>
            <w:tcW w:w="3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Is APQP/product-launch project management in place with defined phase-gate milestones and cross-functional team participation?</w:t>
            </w:r>
          </w:p>
        </w:tc>
        <w:tc>
          <w:tcPr>
            <w:tcW w:w="520" w:type="dxa"/>
            <w:shd w:val="clear" w:color="auto" w:fill="10B981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22"/>
              </w:rPr>
              <w:t>10</w:t>
            </w:r>
          </w:p>
        </w:tc>
        <w:tc>
          <w:tcPr>
            <w:tcW w:w="22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APQP tracker sighted for active project SC-7890 Rev. A; cross-functional team roster and sign-offs confirmed.</w:t>
            </w:r>
          </w:p>
        </w:tc>
        <w:tc>
          <w:tcPr>
            <w:tcW w:w="2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64748B"/>
                <w:sz w:val="16"/>
              </w:rPr>
              <w:t>—</w:t>
            </w:r>
          </w:p>
        </w:tc>
      </w:tr>
      <w:tr>
        <w:tc>
          <w:tcPr>
            <w:shd w:val="clear" w:color="auto" w:fill="EEEDE4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6"/>
              </w:rPr>
              <w:t>P2.4</w:t>
            </w:r>
          </w:p>
        </w:tc>
        <w:tc>
          <w:tcPr>
            <w:tcW w:w="3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DC2626"/>
                <w:sz w:val="18"/>
              </w:rPr>
              <w:t xml:space="preserve">★ </w:t>
            </w: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★ Is a systematic risk management process (FMEA, risk register, contingency planning) in place and actively maintained?</w:t>
            </w:r>
          </w:p>
        </w:tc>
        <w:tc>
          <w:tcPr>
            <w:tcW w:w="520" w:type="dxa"/>
            <w:shd w:val="clear" w:color="auto" w:fill="DC2626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22"/>
              </w:rPr>
              <w:t>0</w:t>
            </w:r>
          </w:p>
        </w:tc>
        <w:tc>
          <w:tcPr>
            <w:tcW w:w="22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Risk register last updated 2025-11. No evidence of annual review or update following a supplier change in Q1 2026.</w:t>
            </w:r>
          </w:p>
        </w:tc>
        <w:tc>
          <w:tcPr>
            <w:tcW w:w="2480" w:type="dxa"/>
            <w:shd w:val="clear" w:color="auto" w:fill="FBD9D9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DC2626"/>
                <w:sz w:val="16"/>
              </w:rPr>
              <w:t>CRITICAL: Update risk register immediately and establish quarterly review cadence. Owner: Plant Manager  Due: 2026-07-08</w:t>
            </w:r>
          </w:p>
        </w:tc>
      </w:tr>
      <w:tr>
        <w:tc>
          <w:tcPr>
            <w:shd w:val="clear" w:color="auto" w:fill="EEEDE4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6"/>
              </w:rPr>
              <w:t>P2.5</w:t>
            </w:r>
          </w:p>
        </w:tc>
        <w:tc>
          <w:tcPr>
            <w:tcW w:w="3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Are competence requirements defined, and is there evidence of training effectiveness evaluation for quality-critical roles?</w:t>
            </w:r>
          </w:p>
        </w:tc>
        <w:tc>
          <w:tcPr>
            <w:tcW w:w="520" w:type="dxa"/>
            <w:shd w:val="clear" w:color="auto" w:fill="E8B400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22"/>
              </w:rPr>
              <w:t>8</w:t>
            </w:r>
          </w:p>
        </w:tc>
        <w:tc>
          <w:tcPr>
            <w:tcW w:w="22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Training matrix up to date. Effectiveness checks for welding operators not documented for 2026.</w:t>
            </w:r>
          </w:p>
        </w:tc>
        <w:tc>
          <w:tcPr>
            <w:tcW w:w="2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0A1628"/>
                <w:sz w:val="16"/>
              </w:rPr>
              <w:t>Document effectiveness evaluations for all Q-critical operators by 2026-08-31. Owner: HR + QA</w:t>
            </w:r>
          </w:p>
        </w:tc>
      </w:tr>
    </w:tbl>
    <w:p>
      <w:pPr>
        <w:spacing w:before="0" w:after="0"/>
        <w:spacing w:before="0" w:after="60"/>
      </w:pPr>
    </w:p>
    <w:tbl>
      <w:tblPr>
        <w:tblStyle w:val="TableGrid"/>
        <w:jc w:val="left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W w:w="9360" w:type="dxa"/>
      </w:tblPr>
      <w:tblGrid>
        <w:gridCol w:w="9866"/>
      </w:tblGrid>
      <w:tr>
        <w:tc>
          <w:tcPr>
            <w:tcW w:type="dxa" w:w="9866"/>
            <w:shd w:val="clear" w:color="auto" w:fill="0A1628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22"/>
              </w:rPr>
              <w:t>P3 — Product &amp; Process Development</w:t>
            </w:r>
          </w:p>
        </w:tc>
      </w:tr>
    </w:tbl>
    <w:p>
      <w:pPr>
        <w:spacing w:before="0" w:after="40"/>
      </w:pPr>
    </w:p>
    <w:tbl>
      <w:tblPr>
        <w:tblStyle w:val="TableGrid"/>
        <w:tblLook w:firstColumn="1" w:firstRow="1" w:lastColumn="0" w:lastRow="0" w:noHBand="0" w:noVBand="1" w:val="04A0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  <w:tblW w:w="9360" w:type="dxa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shd w:val="clear" w:color="auto" w:fill="0A1628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6"/>
              </w:rPr>
              <w:t>No.</w:t>
            </w:r>
          </w:p>
        </w:tc>
        <w:tc>
          <w:tcPr>
            <w:shd w:val="clear" w:color="auto" w:fill="0A1628"/>
            <w:tcW w:w="348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6"/>
              </w:rPr>
              <w:t>Audit Question</w:t>
            </w:r>
          </w:p>
        </w:tc>
        <w:tc>
          <w:tcPr>
            <w:shd w:val="clear" w:color="auto" w:fill="0A1628"/>
            <w:tcW w:w="52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6"/>
              </w:rPr>
              <w:t>Score</w:t>
              <w:br/>
              <w:t>(0/4/8/10)</w:t>
            </w:r>
          </w:p>
        </w:tc>
        <w:tc>
          <w:tcPr>
            <w:shd w:val="clear" w:color="auto" w:fill="0A1628"/>
            <w:tcW w:w="228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6"/>
              </w:rPr>
              <w:t>Evidence / Finding</w:t>
            </w:r>
          </w:p>
        </w:tc>
        <w:tc>
          <w:tcPr>
            <w:shd w:val="clear" w:color="auto" w:fill="0A1628"/>
            <w:tcW w:w="248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6"/>
              </w:rPr>
              <w:t>Action / Owner</w:t>
            </w:r>
          </w:p>
        </w:tc>
      </w:tr>
      <w:tr>
        <w:tc>
          <w:tcPr>
            <w:shd w:val="clear" w:color="auto" w:fill="EEEDE4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6"/>
              </w:rPr>
              <w:t>P3.1</w:t>
            </w:r>
          </w:p>
        </w:tc>
        <w:tc>
          <w:tcPr>
            <w:tcW w:w="3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DC2626"/>
                <w:sz w:val="18"/>
              </w:rPr>
              <w:t xml:space="preserve">★ </w:t>
            </w: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★ Are DFMEA and PFMEA current, reviewed at defined intervals, and updated after design/process changes?</w:t>
            </w:r>
          </w:p>
        </w:tc>
        <w:tc>
          <w:tcPr>
            <w:tcW w:w="520" w:type="dxa"/>
            <w:shd w:val="clear" w:color="auto" w:fill="E8B400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22"/>
              </w:rPr>
              <w:t>8</w:t>
            </w:r>
          </w:p>
        </w:tc>
        <w:tc>
          <w:tcPr>
            <w:tcW w:w="22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PFMEA Rev. 6 sighted; last updated 2026-04. Minor gap: one new process step added 2026-05 not yet reflected.</w:t>
            </w:r>
          </w:p>
        </w:tc>
        <w:tc>
          <w:tcPr>
            <w:tcW w:w="2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0A1628"/>
                <w:sz w:val="16"/>
              </w:rPr>
              <w:t>Update PFMEA for new step by 2026-07-15. Owner: Process Engineer</w:t>
            </w:r>
          </w:p>
        </w:tc>
      </w:tr>
      <w:tr>
        <w:tc>
          <w:tcPr>
            <w:shd w:val="clear" w:color="auto" w:fill="EEEDE4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6"/>
              </w:rPr>
              <w:t>P3.2</w:t>
            </w:r>
          </w:p>
        </w:tc>
        <w:tc>
          <w:tcPr>
            <w:tcW w:w="3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Is a control plan (pre-launch and production) in place covering all special characteristics?</w:t>
            </w:r>
          </w:p>
        </w:tc>
        <w:tc>
          <w:tcPr>
            <w:tcW w:w="520" w:type="dxa"/>
            <w:shd w:val="clear" w:color="auto" w:fill="10B981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22"/>
              </w:rPr>
              <w:t>10</w:t>
            </w:r>
          </w:p>
        </w:tc>
        <w:tc>
          <w:tcPr>
            <w:tcW w:w="22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Control Plan Rev. 5 current; all Sc/Cc characteristics identified and referenced from PFMEA.</w:t>
            </w:r>
          </w:p>
        </w:tc>
        <w:tc>
          <w:tcPr>
            <w:tcW w:w="2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64748B"/>
                <w:sz w:val="16"/>
              </w:rPr>
              <w:t>—</w:t>
            </w:r>
          </w:p>
        </w:tc>
      </w:tr>
      <w:tr>
        <w:tc>
          <w:tcPr>
            <w:shd w:val="clear" w:color="auto" w:fill="EEEDE4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6"/>
              </w:rPr>
              <w:t>P3.3</w:t>
            </w:r>
          </w:p>
        </w:tc>
        <w:tc>
          <w:tcPr>
            <w:tcW w:w="3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DC2626"/>
                <w:sz w:val="18"/>
              </w:rPr>
              <w:t xml:space="preserve">★ </w:t>
            </w: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★ Are PFD, PFMEA, and Control Plan aligned (tri-document alignment verified)?</w:t>
            </w:r>
          </w:p>
        </w:tc>
        <w:tc>
          <w:tcPr>
            <w:tcW w:w="520" w:type="dxa"/>
            <w:shd w:val="clear" w:color="auto" w:fill="10B981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22"/>
              </w:rPr>
              <w:t>10</w:t>
            </w:r>
          </w:p>
        </w:tc>
        <w:tc>
          <w:tcPr>
            <w:tcW w:w="22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Tri-document alignment matrix reviewed; all failure modes in PFMEA traceable to control actions in CP and process steps in PFD.</w:t>
            </w:r>
          </w:p>
        </w:tc>
        <w:tc>
          <w:tcPr>
            <w:tcW w:w="2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64748B"/>
                <w:sz w:val="16"/>
              </w:rPr>
              <w:t>—</w:t>
            </w:r>
          </w:p>
        </w:tc>
      </w:tr>
      <w:tr>
        <w:tc>
          <w:tcPr>
            <w:shd w:val="clear" w:color="auto" w:fill="EEEDE4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6"/>
              </w:rPr>
              <w:t>P3.4</w:t>
            </w:r>
          </w:p>
        </w:tc>
        <w:tc>
          <w:tcPr>
            <w:tcW w:w="3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Are special characteristics (Sc/Cc/KPC) flowed down from customer and controlled at the point of manufacture?</w:t>
            </w:r>
          </w:p>
        </w:tc>
        <w:tc>
          <w:tcPr>
            <w:tcW w:w="520" w:type="dxa"/>
            <w:shd w:val="clear" w:color="auto" w:fill="10B981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22"/>
              </w:rPr>
              <w:t>10</w:t>
            </w:r>
          </w:p>
        </w:tc>
        <w:tc>
          <w:tcPr>
            <w:tcW w:w="22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Customer-specific requirements reviewed; Sc marked on drawings, control plan, and work instructions.</w:t>
            </w:r>
          </w:p>
        </w:tc>
        <w:tc>
          <w:tcPr>
            <w:tcW w:w="2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64748B"/>
                <w:sz w:val="16"/>
              </w:rPr>
              <w:t>—</w:t>
            </w:r>
          </w:p>
        </w:tc>
      </w:tr>
      <w:tr>
        <w:tc>
          <w:tcPr>
            <w:shd w:val="clear" w:color="auto" w:fill="EEEDE4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6"/>
              </w:rPr>
              <w:t>P3.5</w:t>
            </w:r>
          </w:p>
        </w:tc>
        <w:tc>
          <w:tcPr>
            <w:tcW w:w="3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Is design validation / prototype evidence available and approved for new product introductions?</w:t>
            </w:r>
          </w:p>
        </w:tc>
        <w:tc>
          <w:tcPr>
            <w:tcW w:w="520" w:type="dxa"/>
            <w:shd w:val="clear" w:color="auto" w:fill="E8B400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22"/>
              </w:rPr>
              <w:t>8</w:t>
            </w:r>
          </w:p>
        </w:tc>
        <w:tc>
          <w:tcPr>
            <w:tcW w:w="22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DVP&amp;R available for active program; one test record missing customer approval sign-off.</w:t>
            </w:r>
          </w:p>
        </w:tc>
        <w:tc>
          <w:tcPr>
            <w:tcW w:w="2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0A1628"/>
                <w:sz w:val="16"/>
              </w:rPr>
              <w:t>Obtain customer approval on DVP&amp;R by 2026-07-22. Owner: Program Manager</w:t>
            </w:r>
          </w:p>
        </w:tc>
      </w:tr>
    </w:tbl>
    <w:p>
      <w:pPr>
        <w:spacing w:before="0" w:after="0"/>
        <w:spacing w:before="0" w:after="60"/>
      </w:pPr>
    </w:p>
    <w:tbl>
      <w:tblPr>
        <w:tblStyle w:val="TableGrid"/>
        <w:jc w:val="left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W w:w="9360" w:type="dxa"/>
      </w:tblPr>
      <w:tblGrid>
        <w:gridCol w:w="9866"/>
      </w:tblGrid>
      <w:tr>
        <w:tc>
          <w:tcPr>
            <w:tcW w:type="dxa" w:w="9866"/>
            <w:shd w:val="clear" w:color="auto" w:fill="0A1628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22"/>
              </w:rPr>
              <w:t>P4 — Supplier / Sub-tier Management</w:t>
            </w:r>
          </w:p>
        </w:tc>
      </w:tr>
    </w:tbl>
    <w:p>
      <w:pPr>
        <w:spacing w:before="0" w:after="40"/>
      </w:pPr>
    </w:p>
    <w:tbl>
      <w:tblPr>
        <w:tblStyle w:val="TableGrid"/>
        <w:tblLook w:firstColumn="1" w:firstRow="1" w:lastColumn="0" w:lastRow="0" w:noHBand="0" w:noVBand="1" w:val="04A0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  <w:tblW w:w="9360" w:type="dxa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shd w:val="clear" w:color="auto" w:fill="0A1628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6"/>
              </w:rPr>
              <w:t>No.</w:t>
            </w:r>
          </w:p>
        </w:tc>
        <w:tc>
          <w:tcPr>
            <w:shd w:val="clear" w:color="auto" w:fill="0A1628"/>
            <w:tcW w:w="348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6"/>
              </w:rPr>
              <w:t>Audit Question</w:t>
            </w:r>
          </w:p>
        </w:tc>
        <w:tc>
          <w:tcPr>
            <w:shd w:val="clear" w:color="auto" w:fill="0A1628"/>
            <w:tcW w:w="52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6"/>
              </w:rPr>
              <w:t>Score</w:t>
              <w:br/>
              <w:t>(0/4/8/10)</w:t>
            </w:r>
          </w:p>
        </w:tc>
        <w:tc>
          <w:tcPr>
            <w:shd w:val="clear" w:color="auto" w:fill="0A1628"/>
            <w:tcW w:w="228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6"/>
              </w:rPr>
              <w:t>Evidence / Finding</w:t>
            </w:r>
          </w:p>
        </w:tc>
        <w:tc>
          <w:tcPr>
            <w:shd w:val="clear" w:color="auto" w:fill="0A1628"/>
            <w:tcW w:w="248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6"/>
              </w:rPr>
              <w:t>Action / Owner</w:t>
            </w:r>
          </w:p>
        </w:tc>
      </w:tr>
      <w:tr>
        <w:tc>
          <w:tcPr>
            <w:shd w:val="clear" w:color="auto" w:fill="EEEDE4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6"/>
              </w:rPr>
              <w:t>P4.1</w:t>
            </w:r>
          </w:p>
        </w:tc>
        <w:tc>
          <w:tcPr>
            <w:tcW w:w="3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Is a process in place for selection, approval, and periodic re-evaluation of sub-tier suppliers?</w:t>
            </w:r>
          </w:p>
        </w:tc>
        <w:tc>
          <w:tcPr>
            <w:tcW w:w="520" w:type="dxa"/>
            <w:shd w:val="clear" w:color="auto" w:fill="10B981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22"/>
              </w:rPr>
              <w:t>10</w:t>
            </w:r>
          </w:p>
        </w:tc>
        <w:tc>
          <w:tcPr>
            <w:tcW w:w="22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Approved Supplier List (ASL) maintained; annual re-evaluation process documented and executed.</w:t>
            </w:r>
          </w:p>
        </w:tc>
        <w:tc>
          <w:tcPr>
            <w:tcW w:w="2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64748B"/>
                <w:sz w:val="16"/>
              </w:rPr>
              <w:t>—</w:t>
            </w:r>
          </w:p>
        </w:tc>
      </w:tr>
      <w:tr>
        <w:tc>
          <w:tcPr>
            <w:shd w:val="clear" w:color="auto" w:fill="EEEDE4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6"/>
              </w:rPr>
              <w:t>P4.2</w:t>
            </w:r>
          </w:p>
        </w:tc>
        <w:tc>
          <w:tcPr>
            <w:tcW w:w="3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Is incoming inspection defined and commensurate with sub-supplier risk/performance?</w:t>
            </w:r>
          </w:p>
        </w:tc>
        <w:tc>
          <w:tcPr>
            <w:tcW w:w="520" w:type="dxa"/>
            <w:shd w:val="clear" w:color="auto" w:fill="E8B400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22"/>
              </w:rPr>
              <w:t>8</w:t>
            </w:r>
          </w:p>
        </w:tc>
        <w:tc>
          <w:tcPr>
            <w:tcW w:w="22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Incoming inspection procedure in place. High-risk supplier sample plan not updated after supplier Q-incident in Q4 2025.</w:t>
            </w:r>
          </w:p>
        </w:tc>
        <w:tc>
          <w:tcPr>
            <w:tcW w:w="2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0A1628"/>
                <w:sz w:val="16"/>
              </w:rPr>
              <w:t>Update incoming inspection plan for affected supplier by 2026-07-15. Owner: Incoming QC Lead</w:t>
            </w:r>
          </w:p>
        </w:tc>
      </w:tr>
      <w:tr>
        <w:tc>
          <w:tcPr>
            <w:shd w:val="clear" w:color="auto" w:fill="EEEDE4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6"/>
              </w:rPr>
              <w:t>P4.3</w:t>
            </w:r>
          </w:p>
        </w:tc>
        <w:tc>
          <w:tcPr>
            <w:tcW w:w="3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DC2626"/>
                <w:sz w:val="18"/>
              </w:rPr>
              <w:t xml:space="preserve">★ </w:t>
            </w: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★ Is material traceability maintained from sub-supplier through production and shipping (lot / heat / batch)?</w:t>
            </w:r>
          </w:p>
        </w:tc>
        <w:tc>
          <w:tcPr>
            <w:tcW w:w="520" w:type="dxa"/>
            <w:shd w:val="clear" w:color="auto" w:fill="10B981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22"/>
              </w:rPr>
              <w:t>10</w:t>
            </w:r>
          </w:p>
        </w:tc>
        <w:tc>
          <w:tcPr>
            <w:tcW w:w="22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Full lot traceability verified via ERP trace exercise on 3 finished parts; heat numbers traceable to mill cert.</w:t>
            </w:r>
          </w:p>
        </w:tc>
        <w:tc>
          <w:tcPr>
            <w:tcW w:w="2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64748B"/>
                <w:sz w:val="16"/>
              </w:rPr>
              <w:t>—</w:t>
            </w:r>
          </w:p>
        </w:tc>
      </w:tr>
      <w:tr>
        <w:tc>
          <w:tcPr>
            <w:shd w:val="clear" w:color="auto" w:fill="EEEDE4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6"/>
              </w:rPr>
              <w:t>P4.4</w:t>
            </w:r>
          </w:p>
        </w:tc>
        <w:tc>
          <w:tcPr>
            <w:tcW w:w="3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Are customer-specific requirements (CSRs) flowed down to sub-tier suppliers in purchasing documents?</w:t>
            </w:r>
          </w:p>
        </w:tc>
        <w:tc>
          <w:tcPr>
            <w:tcW w:w="520" w:type="dxa"/>
            <w:shd w:val="clear" w:color="auto" w:fill="E8B400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22"/>
              </w:rPr>
              <w:t>8</w:t>
            </w:r>
          </w:p>
        </w:tc>
        <w:tc>
          <w:tcPr>
            <w:tcW w:w="22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CSR flow-down clause in PO template; verification that sub-suppliers acknowledged CSRs not evidenced for 2 sub-suppliers.</w:t>
            </w:r>
          </w:p>
        </w:tc>
        <w:tc>
          <w:tcPr>
            <w:tcW w:w="2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0A1628"/>
                <w:sz w:val="16"/>
              </w:rPr>
              <w:t>Obtain CSR acknowledgements from all sub-suppliers by 2026-08-15. Owner: Purchasing</w:t>
            </w:r>
          </w:p>
        </w:tc>
      </w:tr>
    </w:tbl>
    <w:p>
      <w:pPr>
        <w:spacing w:before="0" w:after="0"/>
        <w:spacing w:before="0" w:after="60"/>
      </w:pPr>
    </w:p>
    <w:tbl>
      <w:tblPr>
        <w:tblStyle w:val="TableGrid"/>
        <w:jc w:val="left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W w:w="9360" w:type="dxa"/>
      </w:tblPr>
      <w:tblGrid>
        <w:gridCol w:w="9866"/>
      </w:tblGrid>
      <w:tr>
        <w:tc>
          <w:tcPr>
            <w:tcW w:type="dxa" w:w="9866"/>
            <w:shd w:val="clear" w:color="auto" w:fill="0A1628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22"/>
              </w:rPr>
              <w:t>P5 — Production &amp; Process Control</w:t>
            </w:r>
          </w:p>
        </w:tc>
      </w:tr>
    </w:tbl>
    <w:p>
      <w:pPr>
        <w:spacing w:before="0" w:after="40"/>
      </w:pPr>
    </w:p>
    <w:tbl>
      <w:tblPr>
        <w:tblStyle w:val="TableGrid"/>
        <w:tblLook w:firstColumn="1" w:firstRow="1" w:lastColumn="0" w:lastRow="0" w:noHBand="0" w:noVBand="1" w:val="04A0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  <w:tblW w:w="9360" w:type="dxa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shd w:val="clear" w:color="auto" w:fill="0A1628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6"/>
              </w:rPr>
              <w:t>No.</w:t>
            </w:r>
          </w:p>
        </w:tc>
        <w:tc>
          <w:tcPr>
            <w:shd w:val="clear" w:color="auto" w:fill="0A1628"/>
            <w:tcW w:w="348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6"/>
              </w:rPr>
              <w:t>Audit Question</w:t>
            </w:r>
          </w:p>
        </w:tc>
        <w:tc>
          <w:tcPr>
            <w:shd w:val="clear" w:color="auto" w:fill="0A1628"/>
            <w:tcW w:w="52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6"/>
              </w:rPr>
              <w:t>Score</w:t>
              <w:br/>
              <w:t>(0/4/8/10)</w:t>
            </w:r>
          </w:p>
        </w:tc>
        <w:tc>
          <w:tcPr>
            <w:shd w:val="clear" w:color="auto" w:fill="0A1628"/>
            <w:tcW w:w="228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6"/>
              </w:rPr>
              <w:t>Evidence / Finding</w:t>
            </w:r>
          </w:p>
        </w:tc>
        <w:tc>
          <w:tcPr>
            <w:shd w:val="clear" w:color="auto" w:fill="0A1628"/>
            <w:tcW w:w="248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6"/>
              </w:rPr>
              <w:t>Action / Owner</w:t>
            </w:r>
          </w:p>
        </w:tc>
      </w:tr>
      <w:tr>
        <w:tc>
          <w:tcPr>
            <w:shd w:val="clear" w:color="auto" w:fill="EEEDE4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6"/>
              </w:rPr>
              <w:t>P5.1</w:t>
            </w:r>
          </w:p>
        </w:tc>
        <w:tc>
          <w:tcPr>
            <w:tcW w:w="3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Are current, approved work instructions available at the point of use and understood by operators?</w:t>
            </w:r>
          </w:p>
        </w:tc>
        <w:tc>
          <w:tcPr>
            <w:tcW w:w="520" w:type="dxa"/>
            <w:shd w:val="clear" w:color="auto" w:fill="10B981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22"/>
              </w:rPr>
              <w:t>10</w:t>
            </w:r>
          </w:p>
        </w:tc>
        <w:tc>
          <w:tcPr>
            <w:tcW w:w="22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Work instructions (WI) Rev-controlled; WI sighted at each station on audit walkthrough; operator demonstrated understanding.</w:t>
            </w:r>
          </w:p>
        </w:tc>
        <w:tc>
          <w:tcPr>
            <w:tcW w:w="2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64748B"/>
                <w:sz w:val="16"/>
              </w:rPr>
              <w:t>—</w:t>
            </w:r>
          </w:p>
        </w:tc>
      </w:tr>
      <w:tr>
        <w:tc>
          <w:tcPr>
            <w:shd w:val="clear" w:color="auto" w:fill="EEEDE4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6"/>
              </w:rPr>
              <w:t>P5.2</w:t>
            </w:r>
          </w:p>
        </w:tc>
        <w:tc>
          <w:tcPr>
            <w:tcW w:w="3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DC2626"/>
                <w:sz w:val="18"/>
              </w:rPr>
              <w:t xml:space="preserve">★ </w:t>
            </w: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★ Are error-proofing (poka-yoke) devices verified at start-of-shift and after tool change; records maintained?</w:t>
            </w:r>
          </w:p>
        </w:tc>
        <w:tc>
          <w:tcPr>
            <w:tcW w:w="520" w:type="dxa"/>
            <w:shd w:val="clear" w:color="auto" w:fill="E8B400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22"/>
              </w:rPr>
              <w:t>8</w:t>
            </w:r>
          </w:p>
        </w:tc>
        <w:tc>
          <w:tcPr>
            <w:tcW w:w="22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Poka-yoke verification sheets in place. Two devices showed verification gap on morning shift (not signed off).</w:t>
            </w:r>
          </w:p>
        </w:tc>
        <w:tc>
          <w:tcPr>
            <w:tcW w:w="2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0A1628"/>
                <w:sz w:val="16"/>
              </w:rPr>
              <w:t>Investigate and retrain shift leads on poka-yoke check discipline by 2026-07-10. Owner: Production Supervisor</w:t>
            </w:r>
          </w:p>
        </w:tc>
      </w:tr>
      <w:tr>
        <w:tc>
          <w:tcPr>
            <w:shd w:val="clear" w:color="auto" w:fill="EEEDE4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6"/>
              </w:rPr>
              <w:t>P5.3</w:t>
            </w:r>
          </w:p>
        </w:tc>
        <w:tc>
          <w:tcPr>
            <w:tcW w:w="3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Is SPC deployed at special-characteristic operations and are control charts acted upon using reaction plans?</w:t>
            </w:r>
          </w:p>
        </w:tc>
        <w:tc>
          <w:tcPr>
            <w:tcW w:w="520" w:type="dxa"/>
            <w:shd w:val="clear" w:color="auto" w:fill="10B981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22"/>
              </w:rPr>
              <w:t>10</w:t>
            </w:r>
          </w:p>
        </w:tc>
        <w:tc>
          <w:tcPr>
            <w:tcW w:w="22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SPC charts current on critical dimension; out-of-control reaction plans referenced and signed off by operators.</w:t>
            </w:r>
          </w:p>
        </w:tc>
        <w:tc>
          <w:tcPr>
            <w:tcW w:w="2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64748B"/>
                <w:sz w:val="16"/>
              </w:rPr>
              <w:t>—</w:t>
            </w:r>
          </w:p>
        </w:tc>
      </w:tr>
      <w:tr>
        <w:tc>
          <w:tcPr>
            <w:shd w:val="clear" w:color="auto" w:fill="EEEDE4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6"/>
              </w:rPr>
              <w:t>P5.4</w:t>
            </w:r>
          </w:p>
        </w:tc>
        <w:tc>
          <w:tcPr>
            <w:tcW w:w="3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Are reaction plans defined for out-of-control and non-conforming product, and are they followed in practice?</w:t>
            </w:r>
          </w:p>
        </w:tc>
        <w:tc>
          <w:tcPr>
            <w:tcW w:w="520" w:type="dxa"/>
            <w:shd w:val="clear" w:color="auto" w:fill="10B981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22"/>
              </w:rPr>
              <w:t>10</w:t>
            </w:r>
          </w:p>
        </w:tc>
        <w:tc>
          <w:tcPr>
            <w:tcW w:w="22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Reaction plans integrated into WI; evidence of last non-conformance handled per plan (NCR #2026-041).</w:t>
            </w:r>
          </w:p>
        </w:tc>
        <w:tc>
          <w:tcPr>
            <w:tcW w:w="2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64748B"/>
                <w:sz w:val="16"/>
              </w:rPr>
              <w:t>—</w:t>
            </w:r>
          </w:p>
        </w:tc>
      </w:tr>
      <w:tr>
        <w:tc>
          <w:tcPr>
            <w:shd w:val="clear" w:color="auto" w:fill="EEEDE4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6"/>
              </w:rPr>
              <w:t>P5.5</w:t>
            </w:r>
          </w:p>
        </w:tc>
        <w:tc>
          <w:tcPr>
            <w:tcW w:w="3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Is 5S systematically implemented and sustained with regular auditing?</w:t>
            </w:r>
          </w:p>
        </w:tc>
        <w:tc>
          <w:tcPr>
            <w:tcW w:w="520" w:type="dxa"/>
            <w:shd w:val="clear" w:color="auto" w:fill="E8B400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22"/>
              </w:rPr>
              <w:t>8</w:t>
            </w:r>
          </w:p>
        </w:tc>
        <w:tc>
          <w:tcPr>
            <w:tcW w:w="22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5S system in place; lay-by area near press line not meeting standard; most recent 5S audit score 78%.</w:t>
            </w:r>
          </w:p>
        </w:tc>
        <w:tc>
          <w:tcPr>
            <w:tcW w:w="2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0A1628"/>
                <w:sz w:val="16"/>
              </w:rPr>
              <w:t>Address lay-by area non-conformance and target 5S score ≥ 90% by 2026-08-01. Owner: Production Lead</w:t>
            </w:r>
          </w:p>
        </w:tc>
      </w:tr>
      <w:tr>
        <w:tc>
          <w:tcPr>
            <w:shd w:val="clear" w:color="auto" w:fill="EEEDE4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6"/>
              </w:rPr>
              <w:t>P5.6</w:t>
            </w:r>
          </w:p>
        </w:tc>
        <w:tc>
          <w:tcPr>
            <w:tcW w:w="3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DC2626"/>
                <w:sz w:val="18"/>
              </w:rPr>
              <w:t xml:space="preserve">★ </w:t>
            </w: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★ Is part / material traceability maintained throughout production (job traveller, serialisation, labelling)?</w:t>
            </w:r>
          </w:p>
        </w:tc>
        <w:tc>
          <w:tcPr>
            <w:tcW w:w="520" w:type="dxa"/>
            <w:shd w:val="clear" w:color="auto" w:fill="10B981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22"/>
              </w:rPr>
              <w:t>10</w:t>
            </w:r>
          </w:p>
        </w:tc>
        <w:tc>
          <w:tcPr>
            <w:tcW w:w="22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Job travellers verified on production floor; part labels scanned at each operation; ERP records match physical.</w:t>
            </w:r>
          </w:p>
        </w:tc>
        <w:tc>
          <w:tcPr>
            <w:tcW w:w="2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64748B"/>
                <w:sz w:val="16"/>
              </w:rPr>
              <w:t>—</w:t>
            </w:r>
          </w:p>
        </w:tc>
      </w:tr>
    </w:tbl>
    <w:p>
      <w:pPr>
        <w:spacing w:before="0" w:after="0"/>
        <w:spacing w:before="0" w:after="60"/>
      </w:pPr>
    </w:p>
    <w:tbl>
      <w:tblPr>
        <w:tblStyle w:val="TableGrid"/>
        <w:jc w:val="left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W w:w="9360" w:type="dxa"/>
      </w:tblPr>
      <w:tblGrid>
        <w:gridCol w:w="9866"/>
      </w:tblGrid>
      <w:tr>
        <w:tc>
          <w:tcPr>
            <w:tcW w:type="dxa" w:w="9866"/>
            <w:shd w:val="clear" w:color="auto" w:fill="0A1628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22"/>
              </w:rPr>
              <w:t>P6 — Measurement, Test &amp; Calibration</w:t>
            </w:r>
          </w:p>
        </w:tc>
      </w:tr>
    </w:tbl>
    <w:p>
      <w:pPr>
        <w:spacing w:before="0" w:after="40"/>
      </w:pPr>
    </w:p>
    <w:tbl>
      <w:tblPr>
        <w:tblStyle w:val="TableGrid"/>
        <w:tblLook w:firstColumn="1" w:firstRow="1" w:lastColumn="0" w:lastRow="0" w:noHBand="0" w:noVBand="1" w:val="04A0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  <w:tblW w:w="9360" w:type="dxa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shd w:val="clear" w:color="auto" w:fill="0A1628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6"/>
              </w:rPr>
              <w:t>No.</w:t>
            </w:r>
          </w:p>
        </w:tc>
        <w:tc>
          <w:tcPr>
            <w:shd w:val="clear" w:color="auto" w:fill="0A1628"/>
            <w:tcW w:w="348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6"/>
              </w:rPr>
              <w:t>Audit Question</w:t>
            </w:r>
          </w:p>
        </w:tc>
        <w:tc>
          <w:tcPr>
            <w:shd w:val="clear" w:color="auto" w:fill="0A1628"/>
            <w:tcW w:w="52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6"/>
              </w:rPr>
              <w:t>Score</w:t>
              <w:br/>
              <w:t>(0/4/8/10)</w:t>
            </w:r>
          </w:p>
        </w:tc>
        <w:tc>
          <w:tcPr>
            <w:shd w:val="clear" w:color="auto" w:fill="0A1628"/>
            <w:tcW w:w="228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6"/>
              </w:rPr>
              <w:t>Evidence / Finding</w:t>
            </w:r>
          </w:p>
        </w:tc>
        <w:tc>
          <w:tcPr>
            <w:shd w:val="clear" w:color="auto" w:fill="0A1628"/>
            <w:tcW w:w="248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6"/>
              </w:rPr>
              <w:t>Action / Owner</w:t>
            </w:r>
          </w:p>
        </w:tc>
      </w:tr>
      <w:tr>
        <w:tc>
          <w:tcPr>
            <w:shd w:val="clear" w:color="auto" w:fill="EEEDE4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6"/>
              </w:rPr>
              <w:t>P6.1</w:t>
            </w:r>
          </w:p>
        </w:tc>
        <w:tc>
          <w:tcPr>
            <w:tcW w:w="3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Are all measuring and test equipment identified, calibrated at defined intervals, and labelled with status?</w:t>
            </w:r>
          </w:p>
        </w:tc>
        <w:tc>
          <w:tcPr>
            <w:tcW w:w="520" w:type="dxa"/>
            <w:shd w:val="clear" w:color="auto" w:fill="10B981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22"/>
              </w:rPr>
              <w:t>10</w:t>
            </w:r>
          </w:p>
        </w:tc>
        <w:tc>
          <w:tcPr>
            <w:tcW w:w="22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Calibration database reviewed; all gauges current; colour-coded calibration stickers sighted on all instruments.</w:t>
            </w:r>
          </w:p>
        </w:tc>
        <w:tc>
          <w:tcPr>
            <w:tcW w:w="2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64748B"/>
                <w:sz w:val="16"/>
              </w:rPr>
              <w:t>—</w:t>
            </w:r>
          </w:p>
        </w:tc>
      </w:tr>
      <w:tr>
        <w:tc>
          <w:tcPr>
            <w:shd w:val="clear" w:color="auto" w:fill="EEEDE4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6"/>
              </w:rPr>
              <w:t>P6.2</w:t>
            </w:r>
          </w:p>
        </w:tc>
        <w:tc>
          <w:tcPr>
            <w:tcW w:w="3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Have Measurement System Analyses (MSA / GR&amp;R) been conducted for all special-characteristic measurement systems?</w:t>
            </w:r>
          </w:p>
        </w:tc>
        <w:tc>
          <w:tcPr>
            <w:tcW w:w="520" w:type="dxa"/>
            <w:shd w:val="clear" w:color="auto" w:fill="E8B400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22"/>
              </w:rPr>
              <w:t>8</w:t>
            </w:r>
          </w:p>
        </w:tc>
        <w:tc>
          <w:tcPr>
            <w:tcW w:w="22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MSA studies on file for critical gauges; one new CMM fixture in use since 2026-03 without completed GR&amp;R.</w:t>
            </w:r>
          </w:p>
        </w:tc>
        <w:tc>
          <w:tcPr>
            <w:tcW w:w="2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0A1628"/>
                <w:sz w:val="16"/>
              </w:rPr>
              <w:t>Complete GR&amp;R for new CMM fixture by 2026-07-31. Owner: Metrology Lead</w:t>
            </w:r>
          </w:p>
        </w:tc>
      </w:tr>
      <w:tr>
        <w:tc>
          <w:tcPr>
            <w:shd w:val="clear" w:color="auto" w:fill="EEEDE4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6"/>
              </w:rPr>
              <w:t>P6.3</w:t>
            </w:r>
          </w:p>
        </w:tc>
        <w:tc>
          <w:tcPr>
            <w:tcW w:w="3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Is the lab scope defined, and is there evidence of accreditation or approved alternative where required by customers?</w:t>
            </w:r>
          </w:p>
        </w:tc>
        <w:tc>
          <w:tcPr>
            <w:tcW w:w="520" w:type="dxa"/>
            <w:shd w:val="clear" w:color="auto" w:fill="10B981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22"/>
              </w:rPr>
              <w:t>10</w:t>
            </w:r>
          </w:p>
        </w:tc>
        <w:tc>
          <w:tcPr>
            <w:tcW w:w="22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Internal lab scope documented; accredited external lab used for dimensional reports requiring customer submission.</w:t>
            </w:r>
          </w:p>
        </w:tc>
        <w:tc>
          <w:tcPr>
            <w:tcW w:w="2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64748B"/>
                <w:sz w:val="16"/>
              </w:rPr>
              <w:t>—</w:t>
            </w:r>
          </w:p>
        </w:tc>
      </w:tr>
      <w:tr>
        <w:tc>
          <w:tcPr>
            <w:shd w:val="clear" w:color="auto" w:fill="EEEDE4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6"/>
              </w:rPr>
              <w:t>P6.4</w:t>
            </w:r>
          </w:p>
        </w:tc>
        <w:tc>
          <w:tcPr>
            <w:tcW w:w="3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Are retained samples / first-off / last-off parts maintained and traceable per customer and internal requirements?</w:t>
            </w:r>
          </w:p>
        </w:tc>
        <w:tc>
          <w:tcPr>
            <w:tcW w:w="520" w:type="dxa"/>
            <w:shd w:val="clear" w:color="auto" w:fill="E8B400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22"/>
              </w:rPr>
              <w:t>8</w:t>
            </w:r>
          </w:p>
        </w:tc>
        <w:tc>
          <w:tcPr>
            <w:tcW w:w="22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Retained sample procedure in place; 2 of 15 part numbers checked had retention period expired without renewal decision.</w:t>
            </w:r>
          </w:p>
        </w:tc>
        <w:tc>
          <w:tcPr>
            <w:tcW w:w="2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0A1628"/>
                <w:sz w:val="16"/>
              </w:rPr>
              <w:t>Review and renew all retention decisions; update sample log by 2026-08-15. Owner: QA Inspector</w:t>
            </w:r>
          </w:p>
        </w:tc>
      </w:tr>
    </w:tbl>
    <w:p>
      <w:pPr>
        <w:spacing w:before="0" w:after="0"/>
        <w:spacing w:before="0" w:after="60"/>
      </w:pPr>
    </w:p>
    <w:tbl>
      <w:tblPr>
        <w:tblStyle w:val="TableGrid"/>
        <w:jc w:val="left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W w:w="9360" w:type="dxa"/>
      </w:tblPr>
      <w:tblGrid>
        <w:gridCol w:w="9866"/>
      </w:tblGrid>
      <w:tr>
        <w:tc>
          <w:tcPr>
            <w:tcW w:type="dxa" w:w="9866"/>
            <w:shd w:val="clear" w:color="auto" w:fill="0A1628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22"/>
              </w:rPr>
              <w:t>P7 — Nonconformance, 8D &amp; Continuous Improvement</w:t>
            </w:r>
          </w:p>
        </w:tc>
      </w:tr>
    </w:tbl>
    <w:p>
      <w:pPr>
        <w:spacing w:before="0" w:after="40"/>
      </w:pPr>
    </w:p>
    <w:tbl>
      <w:tblPr>
        <w:tblStyle w:val="TableGrid"/>
        <w:tblLook w:firstColumn="1" w:firstRow="1" w:lastColumn="0" w:lastRow="0" w:noHBand="0" w:noVBand="1" w:val="04A0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  <w:tblW w:w="9360" w:type="dxa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shd w:val="clear" w:color="auto" w:fill="0A1628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6"/>
              </w:rPr>
              <w:t>No.</w:t>
            </w:r>
          </w:p>
        </w:tc>
        <w:tc>
          <w:tcPr>
            <w:shd w:val="clear" w:color="auto" w:fill="0A1628"/>
            <w:tcW w:w="348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6"/>
              </w:rPr>
              <w:t>Audit Question</w:t>
            </w:r>
          </w:p>
        </w:tc>
        <w:tc>
          <w:tcPr>
            <w:shd w:val="clear" w:color="auto" w:fill="0A1628"/>
            <w:tcW w:w="52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6"/>
              </w:rPr>
              <w:t>Score</w:t>
              <w:br/>
              <w:t>(0/4/8/10)</w:t>
            </w:r>
          </w:p>
        </w:tc>
        <w:tc>
          <w:tcPr>
            <w:shd w:val="clear" w:color="auto" w:fill="0A1628"/>
            <w:tcW w:w="228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6"/>
              </w:rPr>
              <w:t>Evidence / Finding</w:t>
            </w:r>
          </w:p>
        </w:tc>
        <w:tc>
          <w:tcPr>
            <w:shd w:val="clear" w:color="auto" w:fill="0A1628"/>
            <w:tcW w:w="248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6"/>
              </w:rPr>
              <w:t>Action / Owner</w:t>
            </w:r>
          </w:p>
        </w:tc>
      </w:tr>
      <w:tr>
        <w:tc>
          <w:tcPr>
            <w:shd w:val="clear" w:color="auto" w:fill="EEEDE4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6"/>
              </w:rPr>
              <w:t>P7.1</w:t>
            </w:r>
          </w:p>
        </w:tc>
        <w:tc>
          <w:tcPr>
            <w:tcW w:w="3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Is a documented process for identifying, segregating, recording, and dispositioning nonconforming product in place?</w:t>
            </w:r>
          </w:p>
        </w:tc>
        <w:tc>
          <w:tcPr>
            <w:tcW w:w="520" w:type="dxa"/>
            <w:shd w:val="clear" w:color="auto" w:fill="10B981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22"/>
              </w:rPr>
              <w:t>10</w:t>
            </w:r>
          </w:p>
        </w:tc>
        <w:tc>
          <w:tcPr>
            <w:tcW w:w="22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NCR procedure documented; quarantine area clearly marked; last 5 NCRs dispositioned within SLA.</w:t>
            </w:r>
          </w:p>
        </w:tc>
        <w:tc>
          <w:tcPr>
            <w:tcW w:w="2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64748B"/>
                <w:sz w:val="16"/>
              </w:rPr>
              <w:t>—</w:t>
            </w:r>
          </w:p>
        </w:tc>
      </w:tr>
      <w:tr>
        <w:tc>
          <w:tcPr>
            <w:shd w:val="clear" w:color="auto" w:fill="EEEDE4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6"/>
              </w:rPr>
              <w:t>P7.2</w:t>
            </w:r>
          </w:p>
        </w:tc>
        <w:tc>
          <w:tcPr>
            <w:tcW w:w="3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DC2626"/>
                <w:sz w:val="18"/>
              </w:rPr>
              <w:t xml:space="preserve">★ </w:t>
            </w: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★ Does the 8D / problem-solving process demonstrate root-cause discipline (Is / Is-Not, Fishbone / 5-Why, D4 verified)?</w:t>
            </w:r>
          </w:p>
        </w:tc>
        <w:tc>
          <w:tcPr>
            <w:tcW w:w="520" w:type="dxa"/>
            <w:shd w:val="clear" w:color="auto" w:fill="F59E0B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1E293B"/>
                <w:sz w:val="22"/>
              </w:rPr>
              <w:t>4</w:t>
            </w:r>
          </w:p>
        </w:tc>
        <w:tc>
          <w:tcPr>
            <w:tcW w:w="22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8D records reviewed; D4 root-cause analysis on 3 of last 5 customer complaints is superficial (symptom stated as root cause). D5 containment not always in place before D6.</w:t>
            </w:r>
          </w:p>
        </w:tc>
        <w:tc>
          <w:tcPr>
            <w:tcW w:w="2480" w:type="dxa"/>
            <w:shd w:val="clear" w:color="auto" w:fill="FDEBC8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0A1628"/>
                <w:sz w:val="16"/>
              </w:rPr>
              <w:t>Mandatory 8D retraining for all Quality Engineers by 2026-08-01. Coach next 3 8Ds live. Owner: Quality Manager</w:t>
            </w:r>
          </w:p>
        </w:tc>
      </w:tr>
      <w:tr>
        <w:tc>
          <w:tcPr>
            <w:shd w:val="clear" w:color="auto" w:fill="EEEDE4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6"/>
              </w:rPr>
              <w:t>P7.3</w:t>
            </w:r>
          </w:p>
        </w:tc>
        <w:tc>
          <w:tcPr>
            <w:tcW w:w="3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Is corrective-action effectiveness verified at defined intervals with objective evidence?</w:t>
            </w:r>
          </w:p>
        </w:tc>
        <w:tc>
          <w:tcPr>
            <w:tcW w:w="520" w:type="dxa"/>
            <w:shd w:val="clear" w:color="auto" w:fill="E8B400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22"/>
              </w:rPr>
              <w:t>8</w:t>
            </w:r>
          </w:p>
        </w:tc>
        <w:tc>
          <w:tcPr>
            <w:tcW w:w="22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Effectiveness verification step in 8D procedure; 2 of 5 closed 8Ds lack effectiveness check sign-off at the 90-day mark.</w:t>
            </w:r>
          </w:p>
        </w:tc>
        <w:tc>
          <w:tcPr>
            <w:tcW w:w="2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0A1628"/>
                <w:sz w:val="16"/>
              </w:rPr>
              <w:t>Implement 90-day effectiveness check as a system control in QMS; audit 3 open actions by 2026-07-31. Owner: QA Mgr</w:t>
            </w:r>
          </w:p>
        </w:tc>
      </w:tr>
      <w:tr>
        <w:tc>
          <w:tcPr>
            <w:shd w:val="clear" w:color="auto" w:fill="EEEDE4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6"/>
              </w:rPr>
              <w:t>P7.4</w:t>
            </w:r>
          </w:p>
        </w:tc>
        <w:tc>
          <w:tcPr>
            <w:tcW w:w="3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Are customer complaint / warranty data systematically analysed and used to drive product / process improvements?</w:t>
            </w:r>
          </w:p>
        </w:tc>
        <w:tc>
          <w:tcPr>
            <w:tcW w:w="520" w:type="dxa"/>
            <w:shd w:val="clear" w:color="auto" w:fill="10B981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22"/>
              </w:rPr>
              <w:t>10</w:t>
            </w:r>
          </w:p>
        </w:tc>
        <w:tc>
          <w:tcPr>
            <w:tcW w:w="22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Warranty data reviewed monthly; Pareto analysis drives top-3 improvement projects; evidence in management review minutes.</w:t>
            </w:r>
          </w:p>
        </w:tc>
        <w:tc>
          <w:tcPr>
            <w:tcW w:w="2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64748B"/>
                <w:sz w:val="16"/>
              </w:rPr>
              <w:t>—</w:t>
            </w:r>
          </w:p>
        </w:tc>
      </w:tr>
      <w:tr>
        <w:tc>
          <w:tcPr>
            <w:shd w:val="clear" w:color="auto" w:fill="EEEDE4"/>
            <w:tcW w:w="6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6"/>
              </w:rPr>
              <w:t>P7.5</w:t>
            </w:r>
          </w:p>
        </w:tc>
        <w:tc>
          <w:tcPr>
            <w:tcW w:w="3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Is a lessons-learned / read-across process in place to prevent recurrence on similar products / processes?</w:t>
            </w:r>
          </w:p>
        </w:tc>
        <w:tc>
          <w:tcPr>
            <w:tcW w:w="520" w:type="dxa"/>
            <w:shd w:val="clear" w:color="auto" w:fill="E8B400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22"/>
              </w:rPr>
              <w:t>8</w:t>
            </w:r>
          </w:p>
        </w:tc>
        <w:tc>
          <w:tcPr>
            <w:tcW w:w="22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Lessons-learned log maintained in QMS; read-across not consistently executed across all product families.</w:t>
            </w:r>
          </w:p>
        </w:tc>
        <w:tc>
          <w:tcPr>
            <w:tcW w:w="2480" w:type="dxa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0A1628"/>
                <w:sz w:val="16"/>
              </w:rPr>
              <w:t>Define read-across trigger criteria and execute for last 3 customer escapes by 2026-08-15. Owner: Senior Quality Eng</w:t>
            </w:r>
          </w:p>
        </w:tc>
      </w:tr>
    </w:tbl>
    <w:p>
      <w:pPr>
        <w:spacing w:before="0" w:after="0"/>
        <w:spacing w:before="0" w:after="60"/>
      </w:pPr>
    </w:p>
    <w:p>
      <w:pPr>
        <w:spacing w:before="0" w:after="0"/>
      </w:pPr>
      <w:r>
        <w:br w:type="page"/>
      </w:r>
    </w:p>
    <w:tbl>
      <w:tblPr>
        <w:tblStyle w:val="TableGrid"/>
        <w:jc w:val="left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W w:w="9360" w:type="dxa"/>
      </w:tblPr>
      <w:tblGrid>
        <w:gridCol w:w="9866"/>
      </w:tblGrid>
      <w:tr>
        <w:tc>
          <w:tcPr>
            <w:tcW w:type="dxa" w:w="9866"/>
            <w:shd w:val="clear" w:color="auto" w:fill="0A1628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24"/>
              </w:rPr>
              <w:t>Scoring Summary</w:t>
            </w:r>
          </w:p>
        </w:tc>
      </w:tr>
    </w:tbl>
    <w:p>
      <w:pPr>
        <w:spacing w:before="0" w:after="40"/>
      </w:pPr>
    </w:p>
    <w:tbl>
      <w:tblPr>
        <w:tblStyle w:val="TableGrid"/>
        <w:tblLook w:firstColumn="1" w:firstRow="1" w:lastColumn="0" w:lastRow="0" w:noHBand="0" w:noVBand="1" w:val="04A0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  <w:tblW w:w="9360" w:type="dxa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shd w:val="clear" w:color="auto" w:fill="0D1B3E"/>
            <w:tcW w:w="35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18"/>
              </w:rPr>
              <w:t>Element</w:t>
            </w:r>
          </w:p>
        </w:tc>
        <w:tc>
          <w:tcPr>
            <w:shd w:val="clear" w:color="auto" w:fill="0D1B3E"/>
            <w:tcW w:w="9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18"/>
              </w:rPr>
              <w:t>Max Pts</w:t>
            </w:r>
          </w:p>
        </w:tc>
        <w:tc>
          <w:tcPr>
            <w:shd w:val="clear" w:color="auto" w:fill="0D1B3E"/>
            <w:tcW w:w="9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18"/>
              </w:rPr>
              <w:t>Achieved</w:t>
            </w:r>
          </w:p>
        </w:tc>
        <w:tc>
          <w:tcPr>
            <w:shd w:val="clear" w:color="auto" w:fill="0D1B3E"/>
            <w:tcW w:w="9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18"/>
              </w:rPr>
              <w:t>DoF %</w:t>
            </w:r>
          </w:p>
        </w:tc>
        <w:tc>
          <w:tcPr>
            <w:shd w:val="clear" w:color="auto" w:fill="0D1B3E"/>
            <w:tcW w:w="11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18"/>
              </w:rPr>
              <w:t>★ 0 Cap?</w:t>
            </w:r>
          </w:p>
        </w:tc>
        <w:tc>
          <w:tcPr>
            <w:shd w:val="clear" w:color="auto" w:fill="0D1B3E"/>
            <w:tcW w:w="206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18"/>
              </w:rPr>
              <w:t>Eff. DoF % / Rating</w:t>
            </w:r>
          </w:p>
        </w:tc>
      </w:tr>
      <w:tr>
        <w:tc>
          <w:tcPr>
            <w:shd w:val="clear" w:color="auto" w:fill="EEEDE4"/>
            <w:tcW w:w="35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0A1628"/>
                <w:sz w:val="18"/>
              </w:rPr>
              <w:t>P1  Quality Management System</w:t>
            </w:r>
          </w:p>
        </w:tc>
        <w:tc>
          <w:tcPr>
            <w:shd w:val="clear" w:color="auto" w:fill="FFFFFF"/>
            <w:tcW w:w="9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50</w:t>
            </w:r>
          </w:p>
        </w:tc>
        <w:tc>
          <w:tcPr>
            <w:shd w:val="clear" w:color="auto" w:fill="FFFFFF"/>
            <w:tcW w:w="9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44</w:t>
            </w:r>
          </w:p>
        </w:tc>
        <w:tc>
          <w:tcPr>
            <w:shd w:val="clear" w:color="auto" w:fill="FFFFFF"/>
            <w:tcW w:w="9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88.0%</w:t>
            </w:r>
          </w:p>
        </w:tc>
        <w:tc>
          <w:tcPr>
            <w:shd w:val="clear" w:color="auto" w:fill="FFFFFF"/>
            <w:tcW w:w="11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64748B"/>
                <w:sz w:val="18"/>
              </w:rPr>
              <w:t>No</w:t>
            </w:r>
          </w:p>
        </w:tc>
        <w:tc>
          <w:tcPr>
            <w:tcW w:type="dxa" w:w="1644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88.0%</w:t>
            </w:r>
          </w:p>
        </w:tc>
      </w:tr>
      <w:tr>
        <w:tc>
          <w:tcPr>
            <w:shd w:val="clear" w:color="auto" w:fill="EEEDE4"/>
            <w:tcW w:w="35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0A1628"/>
                <w:sz w:val="18"/>
              </w:rPr>
              <w:t>P2  Management &amp; Planning</w:t>
            </w:r>
          </w:p>
        </w:tc>
        <w:tc>
          <w:tcPr>
            <w:shd w:val="clear" w:color="auto" w:fill="FFFFFF"/>
            <w:tcW w:w="9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50</w:t>
            </w:r>
          </w:p>
        </w:tc>
        <w:tc>
          <w:tcPr>
            <w:shd w:val="clear" w:color="auto" w:fill="FFFFFF"/>
            <w:tcW w:w="9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36</w:t>
            </w:r>
          </w:p>
        </w:tc>
        <w:tc>
          <w:tcPr>
            <w:shd w:val="clear" w:color="auto" w:fill="FFFFFF"/>
            <w:tcW w:w="9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72.0%</w:t>
            </w:r>
          </w:p>
        </w:tc>
        <w:tc>
          <w:tcPr>
            <w:shd w:val="clear" w:color="auto" w:fill="FBD9D9"/>
            <w:tcW w:w="11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DC2626"/>
                <w:sz w:val="18"/>
              </w:rPr>
              <w:t>YES — capped 80%</w:t>
            </w:r>
          </w:p>
        </w:tc>
        <w:tc>
          <w:tcPr>
            <w:tcW w:type="dxa" w:w="1644"/>
            <w:shd w:val="clear" w:color="auto" w:fill="FBD9D9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1E293B"/>
                <w:sz w:val="18"/>
              </w:rPr>
              <w:t>72.0%  (★ cap)</w:t>
            </w:r>
          </w:p>
        </w:tc>
      </w:tr>
      <w:tr>
        <w:tc>
          <w:tcPr>
            <w:shd w:val="clear" w:color="auto" w:fill="EEEDE4"/>
            <w:tcW w:w="35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0A1628"/>
                <w:sz w:val="18"/>
              </w:rPr>
              <w:t>P3  Product &amp; Process Development</w:t>
            </w:r>
          </w:p>
        </w:tc>
        <w:tc>
          <w:tcPr>
            <w:shd w:val="clear" w:color="auto" w:fill="FFFFFF"/>
            <w:tcW w:w="9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50</w:t>
            </w:r>
          </w:p>
        </w:tc>
        <w:tc>
          <w:tcPr>
            <w:shd w:val="clear" w:color="auto" w:fill="FFFFFF"/>
            <w:tcW w:w="9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46</w:t>
            </w:r>
          </w:p>
        </w:tc>
        <w:tc>
          <w:tcPr>
            <w:shd w:val="clear" w:color="auto" w:fill="FFFFFF"/>
            <w:tcW w:w="9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92.0%</w:t>
            </w:r>
          </w:p>
        </w:tc>
        <w:tc>
          <w:tcPr>
            <w:shd w:val="clear" w:color="auto" w:fill="FFFFFF"/>
            <w:tcW w:w="11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64748B"/>
                <w:sz w:val="18"/>
              </w:rPr>
              <w:t>No</w:t>
            </w:r>
          </w:p>
        </w:tc>
        <w:tc>
          <w:tcPr>
            <w:tcW w:type="dxa" w:w="1644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92.0%</w:t>
            </w:r>
          </w:p>
        </w:tc>
      </w:tr>
      <w:tr>
        <w:tc>
          <w:tcPr>
            <w:shd w:val="clear" w:color="auto" w:fill="EEEDE4"/>
            <w:tcW w:w="35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0A1628"/>
                <w:sz w:val="18"/>
              </w:rPr>
              <w:t>P4  Supplier / Sub-tier Management</w:t>
            </w:r>
          </w:p>
        </w:tc>
        <w:tc>
          <w:tcPr>
            <w:shd w:val="clear" w:color="auto" w:fill="FFFFFF"/>
            <w:tcW w:w="9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40</w:t>
            </w:r>
          </w:p>
        </w:tc>
        <w:tc>
          <w:tcPr>
            <w:shd w:val="clear" w:color="auto" w:fill="FFFFFF"/>
            <w:tcW w:w="9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36</w:t>
            </w:r>
          </w:p>
        </w:tc>
        <w:tc>
          <w:tcPr>
            <w:shd w:val="clear" w:color="auto" w:fill="FFFFFF"/>
            <w:tcW w:w="9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90.0%</w:t>
            </w:r>
          </w:p>
        </w:tc>
        <w:tc>
          <w:tcPr>
            <w:shd w:val="clear" w:color="auto" w:fill="FFFFFF"/>
            <w:tcW w:w="11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64748B"/>
                <w:sz w:val="18"/>
              </w:rPr>
              <w:t>No</w:t>
            </w:r>
          </w:p>
        </w:tc>
        <w:tc>
          <w:tcPr>
            <w:tcW w:type="dxa" w:w="1644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90.0%</w:t>
            </w:r>
          </w:p>
        </w:tc>
      </w:tr>
      <w:tr>
        <w:tc>
          <w:tcPr>
            <w:shd w:val="clear" w:color="auto" w:fill="EEEDE4"/>
            <w:tcW w:w="35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0A1628"/>
                <w:sz w:val="18"/>
              </w:rPr>
              <w:t>P5  Production &amp; Process Control</w:t>
            </w:r>
          </w:p>
        </w:tc>
        <w:tc>
          <w:tcPr>
            <w:shd w:val="clear" w:color="auto" w:fill="FFFFFF"/>
            <w:tcW w:w="9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60</w:t>
            </w:r>
          </w:p>
        </w:tc>
        <w:tc>
          <w:tcPr>
            <w:shd w:val="clear" w:color="auto" w:fill="FFFFFF"/>
            <w:tcW w:w="9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56</w:t>
            </w:r>
          </w:p>
        </w:tc>
        <w:tc>
          <w:tcPr>
            <w:shd w:val="clear" w:color="auto" w:fill="FFFFFF"/>
            <w:tcW w:w="9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93.3%</w:t>
            </w:r>
          </w:p>
        </w:tc>
        <w:tc>
          <w:tcPr>
            <w:shd w:val="clear" w:color="auto" w:fill="FFFFFF"/>
            <w:tcW w:w="11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64748B"/>
                <w:sz w:val="18"/>
              </w:rPr>
              <w:t>No</w:t>
            </w:r>
          </w:p>
        </w:tc>
        <w:tc>
          <w:tcPr>
            <w:tcW w:type="dxa" w:w="1644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93.3%</w:t>
            </w:r>
          </w:p>
        </w:tc>
      </w:tr>
      <w:tr>
        <w:tc>
          <w:tcPr>
            <w:shd w:val="clear" w:color="auto" w:fill="EEEDE4"/>
            <w:tcW w:w="35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0A1628"/>
                <w:sz w:val="18"/>
              </w:rPr>
              <w:t>P6  Measurement, Test &amp; Calibration</w:t>
            </w:r>
          </w:p>
        </w:tc>
        <w:tc>
          <w:tcPr>
            <w:shd w:val="clear" w:color="auto" w:fill="FFFFFF"/>
            <w:tcW w:w="9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40</w:t>
            </w:r>
          </w:p>
        </w:tc>
        <w:tc>
          <w:tcPr>
            <w:shd w:val="clear" w:color="auto" w:fill="FFFFFF"/>
            <w:tcW w:w="9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36</w:t>
            </w:r>
          </w:p>
        </w:tc>
        <w:tc>
          <w:tcPr>
            <w:shd w:val="clear" w:color="auto" w:fill="FFFFFF"/>
            <w:tcW w:w="9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90.0%</w:t>
            </w:r>
          </w:p>
        </w:tc>
        <w:tc>
          <w:tcPr>
            <w:shd w:val="clear" w:color="auto" w:fill="FFFFFF"/>
            <w:tcW w:w="11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64748B"/>
                <w:sz w:val="18"/>
              </w:rPr>
              <w:t>No</w:t>
            </w:r>
          </w:p>
        </w:tc>
        <w:tc>
          <w:tcPr>
            <w:tcW w:type="dxa" w:w="1644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90.0%</w:t>
            </w:r>
          </w:p>
        </w:tc>
      </w:tr>
      <w:tr>
        <w:tc>
          <w:tcPr>
            <w:shd w:val="clear" w:color="auto" w:fill="EEEDE4"/>
            <w:tcW w:w="35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0A1628"/>
                <w:sz w:val="18"/>
              </w:rPr>
              <w:t>P7  Nonconformance, 8D &amp; Continuous Improvement</w:t>
            </w:r>
          </w:p>
        </w:tc>
        <w:tc>
          <w:tcPr>
            <w:shd w:val="clear" w:color="auto" w:fill="FFFFFF"/>
            <w:tcW w:w="9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50</w:t>
            </w:r>
          </w:p>
        </w:tc>
        <w:tc>
          <w:tcPr>
            <w:shd w:val="clear" w:color="auto" w:fill="FFFFFF"/>
            <w:tcW w:w="9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40</w:t>
            </w:r>
          </w:p>
        </w:tc>
        <w:tc>
          <w:tcPr>
            <w:shd w:val="clear" w:color="auto" w:fill="FFFFFF"/>
            <w:tcW w:w="9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80.0%</w:t>
            </w:r>
          </w:p>
        </w:tc>
        <w:tc>
          <w:tcPr>
            <w:shd w:val="clear" w:color="auto" w:fill="FFFFFF"/>
            <w:tcW w:w="11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64748B"/>
                <w:sz w:val="18"/>
              </w:rPr>
              <w:t>No</w:t>
            </w:r>
          </w:p>
        </w:tc>
        <w:tc>
          <w:tcPr>
            <w:tcW w:type="dxa" w:w="1644"/>
            <w:shd w:val="clear" w:color="auto" w:fill="FFFFFF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80.0%</w:t>
            </w:r>
          </w:p>
        </w:tc>
      </w:tr>
      <w:tr>
        <w:tc>
          <w:tcPr>
            <w:shd w:val="clear" w:color="auto" w:fill="0A1628"/>
            <w:tcW w:w="35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18"/>
              </w:rPr>
              <w:t>OVERALL — All Elements</w:t>
            </w:r>
          </w:p>
        </w:tc>
        <w:tc>
          <w:tcPr>
            <w:shd w:val="clear" w:color="auto" w:fill="0A1628"/>
            <w:tcW w:w="9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18"/>
              </w:rPr>
              <w:t>340</w:t>
            </w:r>
          </w:p>
        </w:tc>
        <w:tc>
          <w:tcPr>
            <w:shd w:val="clear" w:color="auto" w:fill="0A1628"/>
            <w:tcW w:w="9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18"/>
              </w:rPr>
              <w:t>294</w:t>
            </w:r>
          </w:p>
        </w:tc>
        <w:tc>
          <w:tcPr>
            <w:shd w:val="clear" w:color="auto" w:fill="0A1628"/>
            <w:tcW w:w="9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18"/>
              </w:rPr>
              <w:t>86.5%</w:t>
            </w:r>
          </w:p>
        </w:tc>
        <w:tc>
          <w:tcPr>
            <w:shd w:val="clear" w:color="auto" w:fill="0A1628"/>
            <w:tcW w:w="11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E8B400"/>
                <w:sz w:val="18"/>
              </w:rPr>
              <w:t>—</w:t>
            </w:r>
          </w:p>
        </w:tc>
        <w:tc>
          <w:tcPr>
            <w:tcW w:type="dxa" w:w="1644"/>
            <w:shd w:val="clear" w:color="auto" w:fill="FDEBC8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1E293B"/>
                <w:sz w:val="22"/>
              </w:rPr>
              <w:t>86.5%  →  Rating: B</w:t>
            </w:r>
          </w:p>
        </w:tc>
      </w:tr>
    </w:tbl>
    <w:p>
      <w:pPr>
        <w:spacing w:before="0" w:after="0"/>
        <w:spacing w:before="0" w:after="60"/>
      </w:pPr>
    </w:p>
    <w:p>
      <w:pPr>
        <w:jc w:val="left"/>
        <w:spacing w:before="0" w:after="60"/>
      </w:pPr>
      <w:r>
        <w:rPr>
          <w:rFonts w:ascii="Inter" w:hAnsi="Inter"/>
          <w:b/>
          <w:i w:val="0"/>
          <w:color w:val="0A1628"/>
          <w:sz w:val="22"/>
        </w:rPr>
        <w:t>Overall Effective DoF: 86.5%  →  Rating B (Conditionally Capable — improvement plan required)</w:t>
      </w:r>
    </w:p>
    <w:p>
      <w:pPr>
        <w:jc w:val="left"/>
        <w:spacing w:before="0" w:after="40"/>
      </w:pPr>
      <w:r>
        <w:rPr>
          <w:rFonts w:ascii="Inter" w:hAnsi="Inter"/>
          <w:b w:val="0"/>
          <w:i/>
          <w:color w:val="64748B"/>
          <w:sz w:val="18"/>
        </w:rPr>
        <w:t>Note: Section P2 scored 0 on the ★-critical risk management question (P2.4), capping P2 effective DoF at 80% per the starred-question rule. Section P7 scored 4 on root-cause discipline (P7.2), resulting in a low element DoF. These two weaknesses drive the overall B rating and require immediate corrective action.</w:t>
      </w:r>
    </w:p>
    <w:tbl>
      <w:tblPr>
        <w:tblStyle w:val="TableGrid"/>
        <w:jc w:val="left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W w:w="9360" w:type="dxa"/>
      </w:tblPr>
      <w:tblGrid>
        <w:gridCol w:w="9866"/>
      </w:tblGrid>
      <w:tr>
        <w:tc>
          <w:tcPr>
            <w:tcW w:type="dxa" w:w="9866"/>
            <w:shd w:val="clear" w:color="auto" w:fill="0A1628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24"/>
              </w:rPr>
              <w:t>Findings &amp; Corrective-Action Log</w:t>
            </w:r>
          </w:p>
        </w:tc>
      </w:tr>
    </w:tbl>
    <w:p>
      <w:pPr>
        <w:spacing w:before="0" w:after="40"/>
      </w:pPr>
    </w:p>
    <w:tbl>
      <w:tblPr>
        <w:tblStyle w:val="TableGrid"/>
        <w:tblLook w:firstColumn="1" w:firstRow="1" w:lastColumn="0" w:lastRow="0" w:noHBand="0" w:noVBand="1" w:val="04A0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  <w:tblW w:w="9360" w:type="dxa"/>
      </w:tblPr>
      <w:tblGrid>
        <w:gridCol w:w="1233"/>
        <w:gridCol w:w="1233"/>
        <w:gridCol w:w="1233"/>
        <w:gridCol w:w="1233"/>
        <w:gridCol w:w="1233"/>
        <w:gridCol w:w="1233"/>
        <w:gridCol w:w="1233"/>
        <w:gridCol w:w="1233"/>
      </w:tblGrid>
      <w:tr>
        <w:tc>
          <w:tcPr>
            <w:shd w:val="clear" w:color="auto" w:fill="0D1B3E"/>
            <w:tcW w:w="43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16"/>
              </w:rPr>
              <w:t>#</w:t>
            </w:r>
          </w:p>
        </w:tc>
        <w:tc>
          <w:tcPr>
            <w:shd w:val="clear" w:color="auto" w:fill="0D1B3E"/>
            <w:tcW w:w="22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16"/>
              </w:rPr>
              <w:t>Finding</w:t>
            </w:r>
          </w:p>
        </w:tc>
        <w:tc>
          <w:tcPr>
            <w:shd w:val="clear" w:color="auto" w:fill="0D1B3E"/>
            <w:tcW w:w="7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16"/>
              </w:rPr>
              <w:t>Severity</w:t>
            </w:r>
          </w:p>
        </w:tc>
        <w:tc>
          <w:tcPr>
            <w:shd w:val="clear" w:color="auto" w:fill="0D1B3E"/>
            <w:tcW w:w="12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16"/>
              </w:rPr>
              <w:t>Element</w:t>
            </w:r>
          </w:p>
        </w:tc>
        <w:tc>
          <w:tcPr>
            <w:shd w:val="clear" w:color="auto" w:fill="0D1B3E"/>
            <w:tcW w:w="17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16"/>
              </w:rPr>
              <w:t>Corrective Action</w:t>
            </w:r>
          </w:p>
        </w:tc>
        <w:tc>
          <w:tcPr>
            <w:shd w:val="clear" w:color="auto" w:fill="0D1B3E"/>
            <w:tcW w:w="7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16"/>
              </w:rPr>
              <w:t>Owner</w:t>
            </w:r>
          </w:p>
        </w:tc>
        <w:tc>
          <w:tcPr>
            <w:shd w:val="clear" w:color="auto" w:fill="0D1B3E"/>
            <w:tcW w:w="74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16"/>
              </w:rPr>
              <w:t>Due Date</w:t>
            </w:r>
          </w:p>
        </w:tc>
        <w:tc>
          <w:tcPr>
            <w:shd w:val="clear" w:color="auto" w:fill="0D1B3E"/>
            <w:tcW w:w="69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16"/>
              </w:rPr>
              <w:t>Status</w:t>
            </w:r>
          </w:p>
        </w:tc>
      </w:tr>
      <w:tr>
        <w:tc>
          <w:tcPr>
            <w:shd w:val="clear" w:color="auto" w:fill="FBD9D9"/>
            <w:tcW w:w="43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F-01</w:t>
            </w:r>
          </w:p>
        </w:tc>
        <w:tc>
          <w:tcPr>
            <w:shd w:val="clear" w:color="auto" w:fill="FBD9D9"/>
            <w:tcW w:w="22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Risk register last updated Nov 2025; not reviewed after supplier change Q1 2026. No evidence of annual review meeting.</w:t>
            </w:r>
          </w:p>
        </w:tc>
        <w:tc>
          <w:tcPr>
            <w:shd w:val="clear" w:color="auto" w:fill="FBD9D9"/>
            <w:tcW w:w="7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DC2626"/>
                <w:sz w:val="16"/>
              </w:rPr>
              <w:t>Critical</w:t>
            </w:r>
          </w:p>
        </w:tc>
        <w:tc>
          <w:tcPr>
            <w:shd w:val="clear" w:color="auto" w:fill="FBD9D9"/>
            <w:tcW w:w="12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P2 — Management &amp; Planning</w:t>
            </w:r>
          </w:p>
        </w:tc>
        <w:tc>
          <w:tcPr>
            <w:shd w:val="clear" w:color="auto" w:fill="FBD9D9"/>
            <w:tcW w:w="17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Update risk register immediately; establish quarterly review cadence; assign risk owner.</w:t>
            </w:r>
          </w:p>
        </w:tc>
        <w:tc>
          <w:tcPr>
            <w:shd w:val="clear" w:color="auto" w:fill="FBD9D9"/>
            <w:tcW w:w="7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Plant Manager</w:t>
            </w:r>
          </w:p>
        </w:tc>
        <w:tc>
          <w:tcPr>
            <w:shd w:val="clear" w:color="auto" w:fill="FBD9D9"/>
            <w:tcW w:w="74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2026-07-08</w:t>
            </w:r>
          </w:p>
        </w:tc>
        <w:tc>
          <w:tcPr>
            <w:shd w:val="clear" w:color="auto" w:fill="FBD9D9"/>
            <w:tcW w:w="69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Open</w:t>
            </w:r>
          </w:p>
        </w:tc>
      </w:tr>
      <w:tr>
        <w:tc>
          <w:tcPr>
            <w:shd w:val="clear" w:color="auto" w:fill="FDEBC8"/>
            <w:tcW w:w="43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F-02</w:t>
            </w:r>
          </w:p>
        </w:tc>
        <w:tc>
          <w:tcPr>
            <w:shd w:val="clear" w:color="auto" w:fill="FDEBC8"/>
            <w:tcW w:w="22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8D root-cause analysis superficial on 3 of last 5 customer complaints (symptom stated as cause; D5 containment incomplete before D6).</w:t>
            </w:r>
          </w:p>
        </w:tc>
        <w:tc>
          <w:tcPr>
            <w:shd w:val="clear" w:color="auto" w:fill="FDEBC8"/>
            <w:tcW w:w="7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59E0B"/>
                <w:sz w:val="16"/>
              </w:rPr>
              <w:t>Major</w:t>
            </w:r>
          </w:p>
        </w:tc>
        <w:tc>
          <w:tcPr>
            <w:shd w:val="clear" w:color="auto" w:fill="FDEBC8"/>
            <w:tcW w:w="12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P7 — Nonconformance &amp; CI</w:t>
            </w:r>
          </w:p>
        </w:tc>
        <w:tc>
          <w:tcPr>
            <w:shd w:val="clear" w:color="auto" w:fill="FDEBC8"/>
            <w:tcW w:w="17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Mandatory 8D retraining for all QEs; live coaching on next 3 open 8Ds.</w:t>
            </w:r>
          </w:p>
        </w:tc>
        <w:tc>
          <w:tcPr>
            <w:shd w:val="clear" w:color="auto" w:fill="FDEBC8"/>
            <w:tcW w:w="7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Quality Manager</w:t>
            </w:r>
          </w:p>
        </w:tc>
        <w:tc>
          <w:tcPr>
            <w:shd w:val="clear" w:color="auto" w:fill="FDEBC8"/>
            <w:tcW w:w="74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2026-08-01</w:t>
            </w:r>
          </w:p>
        </w:tc>
        <w:tc>
          <w:tcPr>
            <w:shd w:val="clear" w:color="auto" w:fill="FDEBC8"/>
            <w:tcW w:w="69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Open</w:t>
            </w:r>
          </w:p>
        </w:tc>
      </w:tr>
      <w:tr>
        <w:tc>
          <w:tcPr>
            <w:shd w:val="clear" w:color="auto" w:fill="FFFFFF"/>
            <w:tcW w:w="43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F-03</w:t>
            </w:r>
          </w:p>
        </w:tc>
        <w:tc>
          <w:tcPr>
            <w:shd w:val="clear" w:color="auto" w:fill="FFFFFF"/>
            <w:tcW w:w="22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Error-proofing verification sheets not signed off on two poka-yoke devices on the morning shift (2026-06-15).</w:t>
            </w:r>
          </w:p>
        </w:tc>
        <w:tc>
          <w:tcPr>
            <w:shd w:val="clear" w:color="auto" w:fill="FFFFFF"/>
            <w:tcW w:w="7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64748B"/>
                <w:sz w:val="16"/>
              </w:rPr>
              <w:t>Minor</w:t>
            </w:r>
          </w:p>
        </w:tc>
        <w:tc>
          <w:tcPr>
            <w:shd w:val="clear" w:color="auto" w:fill="FFFFFF"/>
            <w:tcW w:w="12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P5 — Production &amp; Process Control</w:t>
            </w:r>
          </w:p>
        </w:tc>
        <w:tc>
          <w:tcPr>
            <w:shd w:val="clear" w:color="auto" w:fill="FFFFFF"/>
            <w:tcW w:w="17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Retrain shift leads; add poka-yoke check to shift handover checklist.</w:t>
            </w:r>
          </w:p>
        </w:tc>
        <w:tc>
          <w:tcPr>
            <w:shd w:val="clear" w:color="auto" w:fill="FFFFFF"/>
            <w:tcW w:w="70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Production Supervisor</w:t>
            </w:r>
          </w:p>
        </w:tc>
        <w:tc>
          <w:tcPr>
            <w:shd w:val="clear" w:color="auto" w:fill="FFFFFF"/>
            <w:tcW w:w="74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2026-07-10</w:t>
            </w:r>
          </w:p>
        </w:tc>
        <w:tc>
          <w:tcPr>
            <w:shd w:val="clear" w:color="auto" w:fill="FFFFFF"/>
            <w:tcW w:w="690" w:type="dxa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6"/>
              </w:rPr>
              <w:t>Open</w:t>
            </w:r>
          </w:p>
        </w:tc>
      </w:tr>
    </w:tbl>
    <w:p>
      <w:pPr>
        <w:spacing w:before="0" w:after="0"/>
        <w:spacing w:before="0" w:after="60"/>
      </w:pPr>
    </w:p>
    <w:tbl>
      <w:tblPr>
        <w:tblStyle w:val="TableGrid"/>
        <w:jc w:val="left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W w:w="9360" w:type="dxa"/>
      </w:tblPr>
      <w:tblGrid>
        <w:gridCol w:w="9866"/>
      </w:tblGrid>
      <w:tr>
        <w:tc>
          <w:tcPr>
            <w:tcW w:type="dxa" w:w="9866"/>
            <w:shd w:val="clear" w:color="auto" w:fill="0A1628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24"/>
              </w:rPr>
              <w:t>Sign-Off</w:t>
            </w:r>
          </w:p>
        </w:tc>
      </w:tr>
    </w:tbl>
    <w:p>
      <w:pPr>
        <w:spacing w:before="0" w:after="40"/>
      </w:pPr>
    </w:p>
    <w:tbl>
      <w:tblPr>
        <w:tblStyle w:val="TableGrid"/>
        <w:tblLook w:firstColumn="1" w:firstRow="1" w:lastColumn="0" w:lastRow="0" w:noHBand="0" w:noVBand="1" w:val="04A0"/>
        <w:tblBorders>
          <w:top w:val="single" w:sz="4" w:space="0" w:color="B0B7C3"/>
          <w:left w:val="single" w:sz="4" w:space="0" w:color="B0B7C3"/>
          <w:bottom w:val="single" w:sz="4" w:space="0" w:color="B0B7C3"/>
          <w:right w:val="single" w:sz="4" w:space="0" w:color="B0B7C3"/>
          <w:insideH w:val="single" w:sz="4" w:space="0" w:color="B0B7C3"/>
          <w:insideV w:val="single" w:sz="4" w:space="0" w:color="B0B7C3"/>
        </w:tblBorders>
        <w:tblW w:w="9360" w:type="dxa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color="auto" w:fill="0A1628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Role</w:t>
            </w:r>
          </w:p>
        </w:tc>
        <w:tc>
          <w:tcPr>
            <w:tcW w:type="dxa" w:w="2466"/>
            <w:shd w:val="clear" w:color="auto" w:fill="0A1628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Name / Title</w:t>
            </w:r>
          </w:p>
        </w:tc>
        <w:tc>
          <w:tcPr>
            <w:tcW w:type="dxa" w:w="2466"/>
            <w:shd w:val="clear" w:color="auto" w:fill="0A1628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Signature</w:t>
            </w:r>
          </w:p>
        </w:tc>
        <w:tc>
          <w:tcPr>
            <w:tcW w:type="dxa" w:w="2466"/>
            <w:shd w:val="clear" w:color="auto" w:fill="0A1628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Date</w:t>
            </w:r>
          </w:p>
        </w:tc>
      </w:tr>
      <w:tr>
        <w:tc>
          <w:tcPr>
            <w:tcW w:type="dxa" w:w="2466"/>
            <w:shd w:val="clear" w:color="auto" w:fill="EEEDE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8"/>
              </w:rPr>
              <w:t>Lead Auditor</w:t>
            </w:r>
          </w:p>
        </w:tc>
        <w:tc>
          <w:tcPr>
            <w:tcW w:type="dxa" w:w="2466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A. Becker</w:t>
            </w:r>
          </w:p>
        </w:tc>
        <w:tc>
          <w:tcPr>
            <w:tcW w:type="dxa" w:w="2466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/>
                <w:color w:val="64748B"/>
                <w:sz w:val="18"/>
              </w:rPr>
              <w:t>__________________</w:t>
            </w:r>
          </w:p>
        </w:tc>
        <w:tc>
          <w:tcPr>
            <w:tcW w:type="dxa" w:w="2466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2026-06-15</w:t>
            </w:r>
          </w:p>
        </w:tc>
      </w:tr>
      <w:tr>
        <w:tc>
          <w:tcPr>
            <w:tcW w:type="dxa" w:w="2466"/>
            <w:shd w:val="clear" w:color="auto" w:fill="EEEDE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8"/>
              </w:rPr>
              <w:t>Auditee Representative</w:t>
            </w:r>
          </w:p>
        </w:tc>
        <w:tc>
          <w:tcPr>
            <w:tcW w:type="dxa" w:w="2466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M. Weber, Quality Manager</w:t>
            </w:r>
          </w:p>
        </w:tc>
        <w:tc>
          <w:tcPr>
            <w:tcW w:type="dxa" w:w="2466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 w:val="0"/>
                <w:i/>
                <w:color w:val="64748B"/>
                <w:sz w:val="18"/>
              </w:rPr>
              <w:t>__________________</w:t>
            </w:r>
          </w:p>
        </w:tc>
        <w:tc>
          <w:tcPr>
            <w:tcW w:type="dxa" w:w="2466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 w:val="0"/>
                <w:i w:val="0"/>
                <w:color w:val="1E293B"/>
                <w:sz w:val="18"/>
              </w:rPr>
              <w:t>2026-06-15</w:t>
            </w:r>
          </w:p>
        </w:tc>
      </w:tr>
    </w:tbl>
    <w:p>
      <w:pPr>
        <w:spacing w:before="0" w:after="0"/>
        <w:spacing w:before="0" w:after="60"/>
      </w:pPr>
    </w:p>
    <w:p>
      <w:pPr>
        <w:jc w:val="left"/>
        <w:spacing w:before="0" w:after="20"/>
      </w:pPr>
      <w:r>
        <w:rPr>
          <w:rFonts w:ascii="Inter" w:hAnsi="Inter"/>
          <w:b/>
          <w:i w:val="0"/>
          <w:color w:val="0A1628"/>
          <w:sz w:val="20"/>
        </w:rPr>
        <w:t>Distribution list:</w:t>
      </w:r>
    </w:p>
    <w:p>
      <w:pPr>
        <w:jc w:val="left"/>
        <w:spacing w:before="0" w:after="60"/>
      </w:pPr>
      <w:r>
        <w:rPr>
          <w:rFonts w:ascii="Inter" w:hAnsi="Inter"/>
          <w:b w:val="0"/>
          <w:i w:val="0"/>
          <w:color w:val="1E293B"/>
          <w:sz w:val="18"/>
        </w:rPr>
        <w:t>Lead Auditor  ·  Quality Manager (Supplier)  ·  Supplier Development Manager  ·  Programme Manager  ·  Quality Director</w:t>
      </w:r>
    </w:p>
    <w:tbl>
      <w:tblPr>
        <w:tblStyle w:val="TableGrid"/>
        <w:tblLook w:firstColumn="1" w:firstRow="1" w:lastColumn="0" w:lastRow="0" w:noHBand="0" w:noVBand="1" w:val="04A0"/>
        <w:tblBorders>
          <w:top w:val="single" w:sz="4" w:space="0" w:color="B0B7C3"/>
          <w:left w:val="single" w:sz="4" w:space="0" w:color="B0B7C3"/>
          <w:bottom w:val="single" w:sz="4" w:space="0" w:color="B0B7C3"/>
          <w:right w:val="single" w:sz="4" w:space="0" w:color="B0B7C3"/>
          <w:insideH w:val="single" w:sz="4" w:space="0" w:color="B0B7C3"/>
          <w:insideV w:val="single" w:sz="4" w:space="0" w:color="B0B7C3"/>
        </w:tblBorders>
        <w:tblW w:w="4680" w:type="dxa"/>
      </w:tblPr>
      <w:tblGrid>
        <w:gridCol w:w="4933"/>
        <w:gridCol w:w="4933"/>
      </w:tblGrid>
      <w:tr>
        <w:tc>
          <w:tcPr>
            <w:tcW w:type="dxa" w:w="4933"/>
            <w:shd w:val="clear" w:color="auto" w:fill="EEEDE4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0A1628"/>
                <w:sz w:val="18"/>
              </w:rPr>
              <w:t>Re-audit required?</w:t>
            </w:r>
          </w:p>
        </w:tc>
        <w:tc>
          <w:tcPr>
            <w:tcW w:type="dxa" w:w="4933"/>
            <w:shd w:val="clear" w:color="auto" w:fill="FDEBC8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1E293B"/>
                <w:sz w:val="18"/>
              </w:rPr>
              <w:t>YES — targeted follow-up on P2 (risk) and P7 (8D)  ·  Target date: 2026-09-01</w:t>
            </w:r>
          </w:p>
        </w:tc>
      </w:tr>
    </w:tbl>
    <w:p>
      <w:pPr>
        <w:spacing w:before="0" w:after="0"/>
        <w:spacing w:before="0" w:after="60"/>
      </w:pPr>
    </w:p>
    <w:p>
      <w:pPr>
        <w:jc w:val="center"/>
        <w:spacing w:before="0" w:after="60"/>
      </w:pPr>
      <w:r>
        <w:rPr>
          <w:rFonts w:ascii="Inter" w:hAnsi="Inter"/>
          <w:b w:val="0"/>
          <w:i w:val="0"/>
          <w:color w:val="64748B"/>
          <w:sz w:val="14"/>
        </w:rPr>
        <w:t>Qualiteh Academy  ·  qualiteh.com  ·  rankovic@qualiteh.com  ·  Structured per ISO 9001 / IATF 16949 / VDA 6.3 methodology  ·  v1.0</w:t>
      </w:r>
    </w:p>
    <w:p>
      <w:pPr>
        <w:spacing w:before="0" w:after="0"/>
      </w:pPr>
      <w:r>
        <w:br w:type="page"/>
      </w:r>
    </w:p>
    <w:tbl>
      <w:tblPr>
        <w:tblStyle w:val="TableGrid"/>
        <w:jc w:val="left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W w:w="9360" w:type="dxa"/>
      </w:tblPr>
      <w:tblGrid>
        <w:gridCol w:w="9866"/>
      </w:tblGrid>
      <w:tr>
        <w:tc>
          <w:tcPr>
            <w:tcW w:type="dxa" w:w="9866"/>
            <w:shd w:val="clear" w:color="auto" w:fill="0A1628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24"/>
              </w:rPr>
              <w:t>Built by Qualiteh  ·  Qualiteh OS Product Suite</w:t>
            </w:r>
          </w:p>
        </w:tc>
      </w:tr>
    </w:tbl>
    <w:p>
      <w:pPr>
        <w:spacing w:before="0" w:after="40"/>
      </w:pPr>
    </w:p>
    <w:p>
      <w:pPr>
        <w:jc w:val="left"/>
        <w:spacing w:before="0" w:after="60"/>
      </w:pPr>
      <w:r>
        <w:rPr>
          <w:rFonts w:ascii="Inter" w:hAnsi="Inter"/>
          <w:b w:val="0"/>
          <w:i w:val="0"/>
          <w:color w:val="1E293B"/>
          <w:sz w:val="20"/>
        </w:rPr>
        <w:t>This checklist is one output of the Qualiteh OS methodology — a suite of purpose-built tools for automotive quality engineers:</w:t>
      </w:r>
    </w:p>
    <w:p>
      <w:pPr>
        <w:spacing w:before="0" w:after="0"/>
        <w:spacing w:before="80" w:after="40"/>
      </w:pPr>
      <w:r>
        <w:rPr>
          <w:rFonts w:ascii="Inter" w:hAnsi="Inter"/>
          <w:b/>
          <w:i w:val="0"/>
          <w:color w:val="0A1628"/>
          <w:sz w:val="20"/>
        </w:rPr>
        <w:t xml:space="preserve">Qualiteh Audit:  </w:t>
      </w:r>
      <w:r>
        <w:rPr>
          <w:rFonts w:ascii="Inter" w:hAnsi="Inter"/>
          <w:b w:val="0"/>
          <w:i w:val="0"/>
          <w:color w:val="1E293B"/>
          <w:sz w:val="20"/>
        </w:rPr>
        <w:t>Offline-first VDA 6.3 / LPA / custom-standard auditing with AEI-powered scoring. This checklist, digitized — run full VDA process audits on the shop floor, capture photographic evidence, generate 8D-ready findings, and track corrective actions to closure. Works without an internet connection.</w:t>
      </w:r>
    </w:p>
    <w:p>
      <w:pPr>
        <w:spacing w:before="0" w:after="0"/>
        <w:spacing w:before="80" w:after="40"/>
      </w:pPr>
      <w:r>
        <w:rPr>
          <w:rFonts w:ascii="Inter" w:hAnsi="Inter"/>
          <w:b/>
          <w:i w:val="0"/>
          <w:color w:val="0A1628"/>
          <w:sz w:val="20"/>
        </w:rPr>
        <w:t xml:space="preserve">Lens (PPAP Assistant):  </w:t>
      </w:r>
      <w:r>
        <w:rPr>
          <w:rFonts w:ascii="Inter" w:hAnsi="Inter"/>
          <w:b w:val="0"/>
          <w:i w:val="0"/>
          <w:color w:val="1E293B"/>
          <w:sz w:val="20"/>
        </w:rPr>
        <w:t>Structured PPAP submission management from PPAP Level 1 through Level 5. Tracks part submission warrants, dimensional results, material certs, and PFMEA/CP alignment across multiple customers and programmes.</w:t>
      </w:r>
    </w:p>
    <w:p>
      <w:pPr>
        <w:spacing w:before="0" w:after="0"/>
        <w:spacing w:before="80" w:after="40"/>
      </w:pPr>
      <w:r>
        <w:rPr>
          <w:rFonts w:ascii="Inter" w:hAnsi="Inter"/>
          <w:b/>
          <w:i w:val="0"/>
          <w:color w:val="0A1628"/>
          <w:sz w:val="20"/>
        </w:rPr>
        <w:t xml:space="preserve">Sync (8D / A3):  </w:t>
      </w:r>
      <w:r>
        <w:rPr>
          <w:rFonts w:ascii="Inter" w:hAnsi="Inter"/>
          <w:b w:val="0"/>
          <w:i w:val="0"/>
          <w:color w:val="1E293B"/>
          <w:sz w:val="20"/>
        </w:rPr>
        <w:t>Disciplined 8D and A3 problem-solving with structured root-cause guidance. Keeps containment, root-cause, and corrective-action records in one place — with read-across linking to prevent recurrence.</w:t>
      </w:r>
    </w:p>
    <w:p>
      <w:pPr>
        <w:spacing w:before="0" w:after="0"/>
        <w:spacing w:before="80" w:after="40"/>
      </w:pPr>
      <w:r>
        <w:rPr>
          <w:rFonts w:ascii="Inter" w:hAnsi="Inter"/>
          <w:b/>
          <w:i w:val="0"/>
          <w:color w:val="0A1628"/>
          <w:sz w:val="20"/>
        </w:rPr>
        <w:t xml:space="preserve">KPI Sentinel:  </w:t>
      </w:r>
      <w:r>
        <w:rPr>
          <w:rFonts w:ascii="Inter" w:hAnsi="Inter"/>
          <w:b w:val="0"/>
          <w:i w:val="0"/>
          <w:color w:val="1E293B"/>
          <w:sz w:val="20"/>
        </w:rPr>
        <w:t>Real-time quality KPI tracking and trend alerting. PPM, scrap, warranty, OTD, and custom metrics with configurable thresholds and escalation paths.</w:t>
      </w:r>
    </w:p>
    <w:p>
      <w:pPr>
        <w:spacing w:before="0" w:after="0"/>
        <w:spacing w:before="80" w:after="40"/>
      </w:pPr>
      <w:r>
        <w:rPr>
          <w:rFonts w:ascii="Inter" w:hAnsi="Inter"/>
          <w:b/>
          <w:i w:val="0"/>
          <w:color w:val="0A1628"/>
          <w:sz w:val="20"/>
        </w:rPr>
        <w:t xml:space="preserve">Tacit CRM:  </w:t>
      </w:r>
      <w:r>
        <w:rPr>
          <w:rFonts w:ascii="Inter" w:hAnsi="Inter"/>
          <w:b w:val="0"/>
          <w:i w:val="0"/>
          <w:color w:val="1E293B"/>
          <w:sz w:val="20"/>
        </w:rPr>
        <w:t>Relationship and opportunity management built for supplier development and quality account management — not a generic CRM adapted for manufacturing.</w:t>
      </w:r>
    </w:p>
    <w:p>
      <w:pPr>
        <w:spacing w:before="0" w:after="0"/>
        <w:spacing w:before="0" w:after="60"/>
      </w:pPr>
    </w:p>
    <w:tbl>
      <w:tblPr>
        <w:tblStyle w:val="TableGrid"/>
        <w:tblLook w:firstColumn="1" w:firstRow="1" w:lastColumn="0" w:lastRow="0" w:noHBand="0" w:noVBand="1" w:val="04A0"/>
        <w:tblBorders>
          <w:top w:val="single" w:sz="8" w:space="0" w:color="E8B400"/>
          <w:left w:val="single" w:sz="8" w:space="0" w:color="E8B400"/>
          <w:bottom w:val="single" w:sz="8" w:space="0" w:color="E8B400"/>
          <w:right w:val="single" w:sz="8" w:space="0" w:color="E8B400"/>
          <w:insideH w:val="single" w:sz="8" w:space="0" w:color="E8B400"/>
          <w:insideV w:val="single" w:sz="8" w:space="0" w:color="E8B400"/>
        </w:tblBorders>
        <w:tblW w:w="9360" w:type="dxa"/>
      </w:tblPr>
      <w:tblGrid>
        <w:gridCol w:w="9866"/>
      </w:tblGrid>
      <w:tr>
        <w:tc>
          <w:tcPr>
            <w:tcW w:type="dxa" w:w="9866"/>
            <w:shd w:val="clear" w:color="auto" w:fill="0A1628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E8B400"/>
                <w:sz w:val="26"/>
              </w:rPr>
              <w:t>Run audits at the speed of AEI — qualiteh.com</w:t>
            </w:r>
          </w:p>
        </w:tc>
      </w:tr>
      <w:tr>
        <w:tc>
          <w:tcPr>
            <w:tcW w:type="dxa" w:w="9866"/>
            <w:shd w:val="clear" w:color="auto" w:fill="0D1B3E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jc w:val="center"/>
              <w:spacing w:before="0" w:after="0"/>
            </w:pPr>
            <w:r>
              <w:rPr>
                <w:rFonts w:ascii="Inter" w:hAnsi="Inter"/>
                <w:b/>
                <w:i w:val="0"/>
                <w:color w:val="FFFFFF"/>
                <w:sz w:val="22"/>
              </w:rPr>
              <w:t>Hands-on quality workshops — qualiteh.com/academy</w:t>
            </w:r>
          </w:p>
        </w:tc>
      </w:tr>
    </w:tbl>
    <w:p>
      <w:pPr>
        <w:spacing w:before="0" w:after="0"/>
        <w:spacing w:before="0" w:after="60"/>
      </w:pPr>
    </w:p>
    <w:p>
      <w:pPr>
        <w:jc w:val="left"/>
        <w:spacing w:before="0" w:after="20"/>
      </w:pPr>
      <w:r>
        <w:rPr>
          <w:rFonts w:ascii="Inter" w:hAnsi="Inter"/>
          <w:b w:val="0"/>
          <w:i/>
          <w:color w:val="64748B"/>
          <w:sz w:val="16"/>
        </w:rPr>
        <w:t>AEI — Augmented Engineering Intelligence — is Qualiteh's term for the structured, context-aware guidance layer embedded in our products; a working aid that supports, not replaces, engineering judgement.</w:t>
      </w:r>
    </w:p>
    <w:p>
      <w:pPr>
        <w:jc w:val="center"/>
        <w:spacing w:before="0" w:after="60"/>
      </w:pPr>
      <w:r>
        <w:rPr>
          <w:rFonts w:ascii="Inter" w:hAnsi="Inter"/>
          <w:b/>
          <w:i/>
          <w:color w:val="0A1628"/>
          <w:sz w:val="24"/>
        </w:rPr>
        <w:t>Engineers, not consultants.</w:t>
      </w:r>
    </w:p>
    <w:p>
      <w:pPr>
        <w:jc w:val="center"/>
        <w:spacing w:before="0" w:after="40"/>
      </w:pPr>
      <w:r>
        <w:rPr>
          <w:rFonts w:ascii="Inter" w:hAnsi="Inter"/>
          <w:b w:val="0"/>
          <w:i w:val="0"/>
          <w:color w:val="64748B"/>
          <w:sz w:val="14"/>
        </w:rPr>
        <w:t>Qualiteh Academy  ·  qualiteh.com  ·  rankovic@qualiteh.com  ·  Structured per ISO 9001 / IATF 16949 / VDA 6.3 methodology  ·  v1.0</w:t>
      </w:r>
    </w:p>
    <w:sectPr w:rsidR="00FC693F" w:rsidRPr="0006063C" w:rsidSect="00034616"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Supplier Quality Audit Checklist</dc:title>
  <dc:subject>ISO 9001 / IATF 16949 / VDA 6.3 Supplier Audit</dc:subject>
  <dc:creator>Qualiteh Academy</dc:creator>
  <cp:keywords>automotive, quality, audit, IATF 16949, VDA 6.3, ISO 9001, supplier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